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Borders>
          <w:top w:val="single" w:sz="8" w:space="0" w:color="538135" w:themeColor="accent6" w:themeShade="BF"/>
          <w:bottom w:val="single" w:sz="8" w:space="0" w:color="538135" w:themeColor="accent6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3720"/>
      </w:tblGrid>
      <w:tr w:rsidR="009F2607" w14:paraId="16FF0993" w14:textId="77777777" w:rsidTr="009F260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14:paraId="4C6EA4E0" w14:textId="77777777" w:rsidR="009F2607" w:rsidRDefault="009F2607" w:rsidP="00C07312">
            <w:pPr>
              <w:ind w:left="-420"/>
              <w:rPr>
                <w:rFonts w:ascii="Arial" w:hAnsi="Arial" w:cs="Arial"/>
                <w:color w:val="4E9E45"/>
                <w:sz w:val="42"/>
                <w:szCs w:val="42"/>
              </w:rPr>
            </w:pPr>
            <w:r>
              <w:rPr>
                <w:rFonts w:ascii="Arial" w:hAnsi="Arial" w:cs="Arial"/>
                <w:color w:val="4E9E45"/>
                <w:sz w:val="42"/>
                <w:szCs w:val="42"/>
              </w:rPr>
              <w:t>Global Compliance &amp; Ethics Operations</w:t>
            </w:r>
          </w:p>
        </w:tc>
        <w:tc>
          <w:tcPr>
            <w:tcW w:w="3705" w:type="dxa"/>
            <w:shd w:val="clear" w:color="auto" w:fill="69B93D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20"/>
            </w:tblGrid>
            <w:tr w:rsidR="009F2607" w14:paraId="6B8D60BF" w14:textId="77777777">
              <w:trPr>
                <w:tblCellSpacing w:w="0" w:type="dxa"/>
              </w:trPr>
              <w:tc>
                <w:tcPr>
                  <w:tcW w:w="3705" w:type="dxa"/>
                  <w:shd w:val="clear" w:color="auto" w:fill="69B93D"/>
                  <w:vAlign w:val="center"/>
                  <w:hideMark/>
                </w:tcPr>
                <w:p w14:paraId="4BB7F70C" w14:textId="77777777" w:rsidR="009F2607" w:rsidRDefault="009F2607">
                  <w:pPr>
                    <w:jc w:val="right"/>
                    <w:rPr>
                      <w:rFonts w:ascii="Arial" w:hAnsi="Arial" w:cs="Arial"/>
                      <w:color w:val="4242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color w:val="424242"/>
                      <w:sz w:val="18"/>
                      <w:szCs w:val="18"/>
                    </w:rPr>
                    <w:drawing>
                      <wp:inline distT="0" distB="0" distL="0" distR="0" wp14:anchorId="65E6F502" wp14:editId="68524948">
                        <wp:extent cx="2352675" cy="1304925"/>
                        <wp:effectExtent l="0" t="0" r="9525" b="9525"/>
                        <wp:docPr id="1" name="Picture 1" descr="cid:image016.jpg@01D9A393.76A07ED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id:image016.jpg@01D9A393.76A07ED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2675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9C573FA" w14:textId="77777777" w:rsidR="009F2607" w:rsidRDefault="009F26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11F1861" w14:textId="77777777" w:rsidR="009F2607" w:rsidRDefault="009F2607" w:rsidP="00236476">
      <w:pPr>
        <w:spacing w:after="0" w:line="240" w:lineRule="auto"/>
        <w:rPr>
          <w:rFonts w:cstheme="minorHAnsi"/>
          <w:sz w:val="24"/>
          <w:szCs w:val="24"/>
        </w:rPr>
      </w:pPr>
    </w:p>
    <w:p w14:paraId="30F7221F" w14:textId="77777777" w:rsidR="009F2607" w:rsidRDefault="009F2607" w:rsidP="00236476">
      <w:pPr>
        <w:spacing w:after="0" w:line="240" w:lineRule="auto"/>
        <w:rPr>
          <w:rFonts w:cstheme="minorHAnsi"/>
          <w:sz w:val="24"/>
          <w:szCs w:val="24"/>
        </w:rPr>
      </w:pPr>
    </w:p>
    <w:p w14:paraId="13E4D3C9" w14:textId="77777777" w:rsidR="00236476" w:rsidRPr="001A4E33" w:rsidRDefault="00236476" w:rsidP="00236476">
      <w:pPr>
        <w:spacing w:after="0" w:line="240" w:lineRule="auto"/>
        <w:rPr>
          <w:rFonts w:cstheme="minorHAnsi"/>
          <w:sz w:val="24"/>
          <w:szCs w:val="24"/>
        </w:rPr>
      </w:pPr>
      <w:r w:rsidRPr="001A4E33">
        <w:rPr>
          <w:rFonts w:cstheme="minorHAnsi"/>
          <w:sz w:val="24"/>
          <w:szCs w:val="24"/>
        </w:rPr>
        <w:t>EngageMate Users:</w:t>
      </w:r>
    </w:p>
    <w:p w14:paraId="4C9D754D" w14:textId="77777777" w:rsidR="00236476" w:rsidRPr="001A4E33" w:rsidRDefault="00236476" w:rsidP="00236476">
      <w:pPr>
        <w:spacing w:after="0" w:line="240" w:lineRule="auto"/>
        <w:rPr>
          <w:rFonts w:cstheme="minorHAnsi"/>
          <w:sz w:val="24"/>
          <w:szCs w:val="24"/>
        </w:rPr>
      </w:pPr>
    </w:p>
    <w:p w14:paraId="4FA9D60D" w14:textId="42A8E3DD" w:rsidR="0049442B" w:rsidRDefault="00783B4A" w:rsidP="008B6FF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 announced on June 19, </w:t>
      </w:r>
      <w:r w:rsidR="008B6FFF" w:rsidRPr="008B6FFF">
        <w:rPr>
          <w:rFonts w:cstheme="minorHAnsi"/>
          <w:sz w:val="24"/>
          <w:szCs w:val="24"/>
        </w:rPr>
        <w:t xml:space="preserve">Teva’s Global Compliance &amp; Ethics Operations </w:t>
      </w:r>
      <w:r w:rsidR="00C933BC">
        <w:rPr>
          <w:rFonts w:cstheme="minorHAnsi"/>
          <w:sz w:val="24"/>
          <w:szCs w:val="24"/>
        </w:rPr>
        <w:t>t</w:t>
      </w:r>
      <w:r w:rsidR="008B6FFF" w:rsidRPr="008B6FFF">
        <w:rPr>
          <w:rFonts w:cstheme="minorHAnsi"/>
          <w:sz w:val="24"/>
          <w:szCs w:val="24"/>
        </w:rPr>
        <w:t xml:space="preserve">eam has been working with users on ways to enhance </w:t>
      </w:r>
      <w:r w:rsidR="009530E8" w:rsidRPr="008B6FFF">
        <w:rPr>
          <w:rFonts w:cstheme="minorHAnsi"/>
          <w:sz w:val="24"/>
          <w:szCs w:val="24"/>
        </w:rPr>
        <w:t>EngageMate’s</w:t>
      </w:r>
      <w:r w:rsidR="008B6FFF" w:rsidRPr="008B6FFF">
        <w:rPr>
          <w:rFonts w:cstheme="minorHAnsi"/>
          <w:sz w:val="24"/>
          <w:szCs w:val="24"/>
        </w:rPr>
        <w:t xml:space="preserve"> functionality and improve your overall user experience.  </w:t>
      </w:r>
      <w:r w:rsidR="0049442B">
        <w:rPr>
          <w:rFonts w:cstheme="minorHAnsi"/>
          <w:sz w:val="24"/>
          <w:szCs w:val="24"/>
        </w:rPr>
        <w:t>We received positive feedback on t</w:t>
      </w:r>
      <w:r>
        <w:rPr>
          <w:rFonts w:cstheme="minorHAnsi"/>
          <w:sz w:val="24"/>
          <w:szCs w:val="24"/>
        </w:rPr>
        <w:t>he first release of enhancements, deployed June 24</w:t>
      </w:r>
      <w:r w:rsidR="0049442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3B2747BA" w14:textId="72C53C24" w:rsidR="00130345" w:rsidRPr="001A4E33" w:rsidRDefault="0049442B" w:rsidP="008B6FF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C933BC">
        <w:rPr>
          <w:rFonts w:cstheme="minorHAnsi"/>
          <w:sz w:val="24"/>
          <w:szCs w:val="24"/>
        </w:rPr>
        <w:t xml:space="preserve">n </w:t>
      </w:r>
      <w:r w:rsidR="008B6FFF" w:rsidRPr="008B6FFF">
        <w:rPr>
          <w:rFonts w:cstheme="minorHAnsi"/>
          <w:sz w:val="24"/>
          <w:szCs w:val="24"/>
        </w:rPr>
        <w:t xml:space="preserve">Saturday, </w:t>
      </w:r>
      <w:r w:rsidR="00271310">
        <w:rPr>
          <w:rFonts w:cstheme="minorHAnsi"/>
          <w:sz w:val="24"/>
          <w:szCs w:val="24"/>
        </w:rPr>
        <w:t>July 29</w:t>
      </w:r>
      <w:r>
        <w:rPr>
          <w:rFonts w:cstheme="minorHAnsi"/>
          <w:sz w:val="24"/>
          <w:szCs w:val="24"/>
        </w:rPr>
        <w:t xml:space="preserve">, </w:t>
      </w:r>
      <w:r w:rsidR="00271310">
        <w:rPr>
          <w:rFonts w:cstheme="minorHAnsi"/>
          <w:sz w:val="24"/>
          <w:szCs w:val="24"/>
        </w:rPr>
        <w:t xml:space="preserve">you </w:t>
      </w:r>
      <w:r>
        <w:rPr>
          <w:rFonts w:cstheme="minorHAnsi"/>
          <w:sz w:val="24"/>
          <w:szCs w:val="24"/>
        </w:rPr>
        <w:t xml:space="preserve">can </w:t>
      </w:r>
      <w:r w:rsidR="00271310">
        <w:rPr>
          <w:rFonts w:cstheme="minorHAnsi"/>
          <w:sz w:val="24"/>
          <w:szCs w:val="24"/>
        </w:rPr>
        <w:t xml:space="preserve">expect to see </w:t>
      </w:r>
      <w:r>
        <w:rPr>
          <w:rFonts w:cstheme="minorHAnsi"/>
          <w:sz w:val="24"/>
          <w:szCs w:val="24"/>
        </w:rPr>
        <w:t xml:space="preserve">the following Service Provider review process updates: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518"/>
        <w:gridCol w:w="1447"/>
        <w:gridCol w:w="1350"/>
        <w:gridCol w:w="5040"/>
      </w:tblGrid>
      <w:tr w:rsidR="00236476" w:rsidRPr="001A4E33" w14:paraId="21FBC446" w14:textId="77777777" w:rsidTr="00AA4E3B">
        <w:trPr>
          <w:tblHeader/>
        </w:trPr>
        <w:tc>
          <w:tcPr>
            <w:tcW w:w="1518" w:type="dxa"/>
            <w:shd w:val="clear" w:color="auto" w:fill="70AD47" w:themeFill="accent6"/>
          </w:tcPr>
          <w:p w14:paraId="6CF77BB7" w14:textId="77777777" w:rsidR="00236476" w:rsidRPr="001A4E33" w:rsidRDefault="00236476" w:rsidP="00AA4E3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A4E33">
              <w:rPr>
                <w:rFonts w:cstheme="minorHAnsi"/>
                <w:b/>
                <w:sz w:val="24"/>
                <w:szCs w:val="24"/>
              </w:rPr>
              <w:t>Functionality</w:t>
            </w:r>
          </w:p>
        </w:tc>
        <w:tc>
          <w:tcPr>
            <w:tcW w:w="1447" w:type="dxa"/>
            <w:shd w:val="clear" w:color="auto" w:fill="70AD47" w:themeFill="accent6"/>
          </w:tcPr>
          <w:p w14:paraId="6D5210D1" w14:textId="77777777" w:rsidR="00236476" w:rsidRPr="001A4E33" w:rsidRDefault="00236476" w:rsidP="00AA4E3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A4E33">
              <w:rPr>
                <w:rFonts w:cstheme="minorHAnsi"/>
                <w:b/>
                <w:sz w:val="24"/>
                <w:szCs w:val="24"/>
              </w:rPr>
              <w:t>Category</w:t>
            </w:r>
          </w:p>
        </w:tc>
        <w:tc>
          <w:tcPr>
            <w:tcW w:w="1350" w:type="dxa"/>
            <w:shd w:val="clear" w:color="auto" w:fill="70AD47" w:themeFill="accent6"/>
          </w:tcPr>
          <w:p w14:paraId="005C0D27" w14:textId="77777777" w:rsidR="00236476" w:rsidRPr="001A4E33" w:rsidRDefault="00236476" w:rsidP="00AA4E3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A4E33">
              <w:rPr>
                <w:rFonts w:cstheme="minorHAnsi"/>
                <w:b/>
                <w:sz w:val="24"/>
                <w:szCs w:val="24"/>
              </w:rPr>
              <w:t>Role</w:t>
            </w:r>
          </w:p>
        </w:tc>
        <w:tc>
          <w:tcPr>
            <w:tcW w:w="5040" w:type="dxa"/>
            <w:shd w:val="clear" w:color="auto" w:fill="70AD47" w:themeFill="accent6"/>
          </w:tcPr>
          <w:p w14:paraId="667141F2" w14:textId="77777777" w:rsidR="00236476" w:rsidRPr="001A4E33" w:rsidRDefault="00236476" w:rsidP="00AA4E3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A4E33">
              <w:rPr>
                <w:rFonts w:cstheme="minorHAnsi"/>
                <w:b/>
                <w:sz w:val="24"/>
                <w:szCs w:val="24"/>
              </w:rPr>
              <w:t>Enhancement</w:t>
            </w:r>
            <w:r w:rsidR="008B6FFF">
              <w:rPr>
                <w:rFonts w:cstheme="minorHAnsi"/>
                <w:b/>
                <w:sz w:val="24"/>
                <w:szCs w:val="24"/>
              </w:rPr>
              <w:t xml:space="preserve"> Description</w:t>
            </w:r>
          </w:p>
        </w:tc>
      </w:tr>
      <w:tr w:rsidR="00236476" w:rsidRPr="001A4E33" w14:paraId="04184DCD" w14:textId="77777777" w:rsidTr="00AA4E3B">
        <w:tc>
          <w:tcPr>
            <w:tcW w:w="1518" w:type="dxa"/>
            <w:vAlign w:val="center"/>
          </w:tcPr>
          <w:p w14:paraId="52A56DBF" w14:textId="77777777" w:rsidR="00236476" w:rsidRPr="001A4E33" w:rsidRDefault="00F66C03" w:rsidP="00AA4E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4E33">
              <w:rPr>
                <w:rFonts w:cstheme="minorHAnsi"/>
                <w:sz w:val="24"/>
                <w:szCs w:val="24"/>
              </w:rPr>
              <w:t>Usability</w:t>
            </w:r>
          </w:p>
        </w:tc>
        <w:tc>
          <w:tcPr>
            <w:tcW w:w="1447" w:type="dxa"/>
            <w:vAlign w:val="center"/>
          </w:tcPr>
          <w:p w14:paraId="2F701AB2" w14:textId="77777777" w:rsidR="00236476" w:rsidRPr="001A4E33" w:rsidRDefault="00271310" w:rsidP="00AA4E3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Additional Reviewers</w:t>
            </w:r>
          </w:p>
        </w:tc>
        <w:tc>
          <w:tcPr>
            <w:tcW w:w="1350" w:type="dxa"/>
            <w:vAlign w:val="center"/>
          </w:tcPr>
          <w:p w14:paraId="7ABCDE20" w14:textId="77777777" w:rsidR="00236476" w:rsidRPr="001A4E33" w:rsidRDefault="00271310" w:rsidP="00AA4E3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Medical </w:t>
            </w:r>
            <w:r w:rsidR="001A4E33" w:rsidRPr="001A4E33">
              <w:rPr>
                <w:rFonts w:cstheme="minorHAnsi"/>
                <w:sz w:val="24"/>
                <w:szCs w:val="24"/>
              </w:rPr>
              <w:t>Reviewers</w:t>
            </w:r>
          </w:p>
        </w:tc>
        <w:tc>
          <w:tcPr>
            <w:tcW w:w="5040" w:type="dxa"/>
            <w:vAlign w:val="center"/>
          </w:tcPr>
          <w:p w14:paraId="3AA26C0F" w14:textId="77777777" w:rsidR="00236476" w:rsidRPr="001A4E33" w:rsidRDefault="00D75FF7" w:rsidP="00AA4E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Medical </w:t>
            </w:r>
            <w:r w:rsidR="008B6FFF" w:rsidRPr="008B6FFF">
              <w:rPr>
                <w:rFonts w:cstheme="minorHAnsi"/>
                <w:sz w:val="24"/>
                <w:szCs w:val="24"/>
              </w:rPr>
              <w:t xml:space="preserve">Reviewers can now </w:t>
            </w:r>
            <w:r w:rsidR="00271310">
              <w:rPr>
                <w:rFonts w:cstheme="minorHAnsi"/>
                <w:b/>
                <w:sz w:val="24"/>
                <w:szCs w:val="24"/>
              </w:rPr>
              <w:t xml:space="preserve">add </w:t>
            </w:r>
            <w:r w:rsidR="00AA4E3B">
              <w:rPr>
                <w:rFonts w:cstheme="minorHAnsi"/>
                <w:b/>
                <w:sz w:val="24"/>
                <w:szCs w:val="24"/>
              </w:rPr>
              <w:t>(</w:t>
            </w:r>
            <w:r w:rsidR="00271310">
              <w:rPr>
                <w:rFonts w:cstheme="minorHAnsi"/>
                <w:b/>
                <w:sz w:val="24"/>
                <w:szCs w:val="24"/>
              </w:rPr>
              <w:t>up to 3</w:t>
            </w:r>
            <w:r w:rsidR="00AA4E3B">
              <w:rPr>
                <w:rFonts w:cstheme="minorHAnsi"/>
                <w:b/>
                <w:sz w:val="24"/>
                <w:szCs w:val="24"/>
              </w:rPr>
              <w:t>)</w:t>
            </w:r>
            <w:r w:rsidR="00271310">
              <w:rPr>
                <w:rFonts w:cstheme="minorHAnsi"/>
                <w:b/>
                <w:sz w:val="24"/>
                <w:szCs w:val="24"/>
              </w:rPr>
              <w:t xml:space="preserve"> additional reviewers</w:t>
            </w:r>
            <w:r w:rsidR="00271310" w:rsidRPr="00AA4E3B">
              <w:rPr>
                <w:rFonts w:cstheme="minorHAnsi"/>
                <w:sz w:val="24"/>
                <w:szCs w:val="24"/>
              </w:rPr>
              <w:t xml:space="preserve"> when assigning a Tier to service provider</w:t>
            </w:r>
            <w:r w:rsidR="00AA4E3B">
              <w:rPr>
                <w:rFonts w:cstheme="minorHAnsi"/>
                <w:sz w:val="24"/>
                <w:szCs w:val="24"/>
              </w:rPr>
              <w:t>(s)</w:t>
            </w:r>
            <w:r w:rsidR="00271310" w:rsidRPr="00AA4E3B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336D567D" w14:textId="77777777" w:rsidR="001A4E33" w:rsidRDefault="001A4E33" w:rsidP="001A4E33">
      <w:pPr>
        <w:spacing w:after="0" w:line="240" w:lineRule="auto"/>
        <w:rPr>
          <w:rFonts w:cstheme="minorHAnsi"/>
          <w:sz w:val="24"/>
          <w:szCs w:val="24"/>
        </w:rPr>
      </w:pPr>
    </w:p>
    <w:p w14:paraId="049BC8EA" w14:textId="61C87BA1" w:rsidR="008B6FFF" w:rsidRPr="008B6FFF" w:rsidRDefault="008B6FFF" w:rsidP="008B6FFF">
      <w:pPr>
        <w:spacing w:after="0" w:line="240" w:lineRule="auto"/>
        <w:rPr>
          <w:rFonts w:cstheme="minorHAnsi"/>
          <w:sz w:val="24"/>
          <w:szCs w:val="24"/>
        </w:rPr>
      </w:pPr>
      <w:r w:rsidRPr="008B6FFF">
        <w:rPr>
          <w:rFonts w:cstheme="minorHAnsi"/>
          <w:sz w:val="24"/>
          <w:szCs w:val="24"/>
        </w:rPr>
        <w:t xml:space="preserve">Please consult your local </w:t>
      </w:r>
      <w:r w:rsidR="0049442B">
        <w:rPr>
          <w:rFonts w:cstheme="minorHAnsi"/>
          <w:sz w:val="24"/>
          <w:szCs w:val="24"/>
        </w:rPr>
        <w:t>C</w:t>
      </w:r>
      <w:r w:rsidRPr="008B6FFF">
        <w:rPr>
          <w:rFonts w:cstheme="minorHAnsi"/>
          <w:sz w:val="24"/>
          <w:szCs w:val="24"/>
        </w:rPr>
        <w:t xml:space="preserve">ompliance </w:t>
      </w:r>
      <w:r w:rsidR="0049442B">
        <w:rPr>
          <w:rFonts w:cstheme="minorHAnsi"/>
          <w:sz w:val="24"/>
          <w:szCs w:val="24"/>
        </w:rPr>
        <w:t>O</w:t>
      </w:r>
      <w:r w:rsidRPr="008B6FFF">
        <w:rPr>
          <w:rFonts w:cstheme="minorHAnsi"/>
          <w:sz w:val="24"/>
          <w:szCs w:val="24"/>
        </w:rPr>
        <w:t xml:space="preserve">fficer </w:t>
      </w:r>
      <w:r w:rsidR="0049442B">
        <w:rPr>
          <w:rFonts w:cstheme="minorHAnsi"/>
          <w:sz w:val="24"/>
          <w:szCs w:val="24"/>
        </w:rPr>
        <w:t xml:space="preserve">with any </w:t>
      </w:r>
      <w:r w:rsidRPr="008B6FFF">
        <w:rPr>
          <w:rFonts w:cstheme="minorHAnsi"/>
          <w:sz w:val="24"/>
          <w:szCs w:val="24"/>
        </w:rPr>
        <w:t>questions th</w:t>
      </w:r>
      <w:r w:rsidR="00DD7EB6">
        <w:rPr>
          <w:rFonts w:cstheme="minorHAnsi"/>
          <w:sz w:val="24"/>
          <w:szCs w:val="24"/>
        </w:rPr>
        <w:t>is</w:t>
      </w:r>
      <w:r w:rsidRPr="008B6FFF">
        <w:rPr>
          <w:rFonts w:cstheme="minorHAnsi"/>
          <w:sz w:val="24"/>
          <w:szCs w:val="24"/>
        </w:rPr>
        <w:t xml:space="preserve"> enhancement may have on local policy/procedures. </w:t>
      </w:r>
    </w:p>
    <w:p w14:paraId="677761C4" w14:textId="77777777" w:rsidR="008B6FFF" w:rsidRDefault="008B6FFF" w:rsidP="008B6FFF">
      <w:pPr>
        <w:spacing w:after="0" w:line="240" w:lineRule="auto"/>
        <w:rPr>
          <w:rFonts w:cstheme="minorHAnsi"/>
          <w:sz w:val="24"/>
          <w:szCs w:val="24"/>
        </w:rPr>
      </w:pPr>
    </w:p>
    <w:p w14:paraId="69EE9536" w14:textId="77777777" w:rsidR="00DD7EB6" w:rsidRDefault="00DD7EB6" w:rsidP="00DD7EB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7EB6">
        <w:rPr>
          <w:rFonts w:cstheme="minorHAnsi"/>
          <w:b/>
          <w:sz w:val="24"/>
          <w:szCs w:val="24"/>
        </w:rPr>
        <w:t>Visit:</w:t>
      </w:r>
      <w:r>
        <w:rPr>
          <w:rFonts w:cstheme="minorHAnsi"/>
          <w:sz w:val="24"/>
          <w:szCs w:val="24"/>
        </w:rPr>
        <w:t xml:space="preserve"> </w:t>
      </w:r>
      <w:hyperlink r:id="rId7" w:history="1">
        <w:r w:rsidR="001D2A32" w:rsidRPr="00DD7EB6">
          <w:rPr>
            <w:rStyle w:val="Hyperlink"/>
            <w:rFonts w:cstheme="minorHAnsi"/>
            <w:sz w:val="24"/>
            <w:szCs w:val="24"/>
          </w:rPr>
          <w:t>EngageMate</w:t>
        </w:r>
        <w:r>
          <w:rPr>
            <w:rStyle w:val="Hyperlink"/>
            <w:rFonts w:cstheme="minorHAnsi"/>
            <w:sz w:val="24"/>
            <w:szCs w:val="24"/>
          </w:rPr>
          <w:t>’s</w:t>
        </w:r>
        <w:r w:rsidR="001D2A32" w:rsidRPr="00DD7EB6">
          <w:rPr>
            <w:rStyle w:val="Hyperlink"/>
            <w:rFonts w:cstheme="minorHAnsi"/>
            <w:sz w:val="24"/>
            <w:szCs w:val="24"/>
          </w:rPr>
          <w:t xml:space="preserve"> Resource Center</w:t>
        </w:r>
      </w:hyperlink>
      <w:r w:rsidR="001D2A3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for </w:t>
      </w:r>
      <w:r w:rsidR="001D2A32" w:rsidRPr="00DD7EB6">
        <w:rPr>
          <w:rFonts w:cstheme="minorHAnsi"/>
          <w:sz w:val="24"/>
          <w:szCs w:val="24"/>
        </w:rPr>
        <w:t>useful system con</w:t>
      </w:r>
      <w:r>
        <w:rPr>
          <w:rFonts w:cstheme="minorHAnsi"/>
          <w:sz w:val="24"/>
          <w:szCs w:val="24"/>
        </w:rPr>
        <w:t>tent such as training tutorials</w:t>
      </w:r>
      <w:r w:rsidR="001D2A32" w:rsidRPr="00DD7EB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and </w:t>
      </w:r>
      <w:r w:rsidR="001D2A32" w:rsidRPr="00DD7EB6">
        <w:rPr>
          <w:rFonts w:cstheme="minorHAnsi"/>
          <w:sz w:val="24"/>
          <w:szCs w:val="24"/>
        </w:rPr>
        <w:t>quick</w:t>
      </w:r>
      <w:r w:rsidRPr="00DD7EB6">
        <w:rPr>
          <w:rFonts w:cstheme="minorHAnsi"/>
          <w:sz w:val="24"/>
          <w:szCs w:val="24"/>
        </w:rPr>
        <w:t xml:space="preserve"> refe</w:t>
      </w:r>
      <w:r>
        <w:rPr>
          <w:rFonts w:cstheme="minorHAnsi"/>
          <w:sz w:val="24"/>
          <w:szCs w:val="24"/>
        </w:rPr>
        <w:t xml:space="preserve">rence cards.  </w:t>
      </w:r>
    </w:p>
    <w:p w14:paraId="00DF1FDF" w14:textId="77777777" w:rsidR="00DD7EB6" w:rsidRPr="008B6FFF" w:rsidRDefault="00DD7EB6" w:rsidP="00DD7EB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AD66D08" w14:textId="77777777" w:rsidR="00271310" w:rsidRDefault="00DD7EB6" w:rsidP="00DD7EB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7EB6">
        <w:rPr>
          <w:rFonts w:cstheme="minorHAnsi"/>
          <w:b/>
          <w:sz w:val="24"/>
          <w:szCs w:val="24"/>
        </w:rPr>
        <w:t>Contact:</w:t>
      </w:r>
      <w:r>
        <w:rPr>
          <w:rFonts w:cstheme="minorHAnsi"/>
          <w:sz w:val="24"/>
          <w:szCs w:val="24"/>
        </w:rPr>
        <w:t xml:space="preserve">  </w:t>
      </w:r>
      <w:hyperlink r:id="rId8" w:history="1">
        <w:r w:rsidR="008B6FFF" w:rsidRPr="00031394">
          <w:rPr>
            <w:rStyle w:val="Hyperlink"/>
            <w:rFonts w:cstheme="minorHAnsi"/>
            <w:sz w:val="24"/>
            <w:szCs w:val="24"/>
          </w:rPr>
          <w:t>ComplianceOperations@tevapharm.com</w:t>
        </w:r>
      </w:hyperlink>
      <w:r>
        <w:rPr>
          <w:rFonts w:cstheme="minorHAnsi"/>
          <w:sz w:val="24"/>
          <w:szCs w:val="24"/>
        </w:rPr>
        <w:t xml:space="preserve"> for</w:t>
      </w:r>
      <w:r w:rsidRPr="00DD7EB6">
        <w:rPr>
          <w:rFonts w:cstheme="minorHAnsi"/>
          <w:sz w:val="24"/>
          <w:szCs w:val="24"/>
        </w:rPr>
        <w:t xml:space="preserve"> </w:t>
      </w:r>
      <w:r w:rsidRPr="008B6FFF">
        <w:rPr>
          <w:rFonts w:cstheme="minorHAnsi"/>
          <w:sz w:val="24"/>
          <w:szCs w:val="24"/>
        </w:rPr>
        <w:t>system related questions</w:t>
      </w:r>
      <w:r>
        <w:rPr>
          <w:rFonts w:cstheme="minorHAnsi"/>
          <w:sz w:val="24"/>
          <w:szCs w:val="24"/>
        </w:rPr>
        <w:t>.</w:t>
      </w:r>
    </w:p>
    <w:p w14:paraId="3C2F4674" w14:textId="77777777" w:rsidR="00C07312" w:rsidRDefault="00C07312" w:rsidP="008B6FFF">
      <w:pPr>
        <w:spacing w:after="0" w:line="240" w:lineRule="auto"/>
        <w:rPr>
          <w:rFonts w:cstheme="minorHAnsi"/>
          <w:sz w:val="24"/>
          <w:szCs w:val="24"/>
        </w:rPr>
      </w:pPr>
    </w:p>
    <w:p w14:paraId="7CAEADB9" w14:textId="77777777" w:rsidR="00C07312" w:rsidRDefault="00C07312" w:rsidP="008B6FFF">
      <w:pPr>
        <w:spacing w:after="0" w:line="240" w:lineRule="auto"/>
        <w:rPr>
          <w:rFonts w:cstheme="minorHAnsi"/>
          <w:sz w:val="24"/>
          <w:szCs w:val="24"/>
        </w:rPr>
      </w:pPr>
    </w:p>
    <w:p w14:paraId="544B8D63" w14:textId="77777777" w:rsidR="00C07312" w:rsidRDefault="00C07312" w:rsidP="008B6FFF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07312" w14:paraId="356BE07F" w14:textId="77777777" w:rsidTr="00C07312">
        <w:trPr>
          <w:cantSplit/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C07312" w14:paraId="03FBE3D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C07312" w14:paraId="7CFEED4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9FD142"/>
                          <w:left w:val="nil"/>
                          <w:bottom w:val="single" w:sz="8" w:space="0" w:color="9FD142"/>
                          <w:right w:val="nil"/>
                        </w:tcBorders>
                        <w:shd w:val="clear" w:color="auto" w:fill="FFFFFF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1349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90"/>
                          <w:gridCol w:w="141"/>
                        </w:tblGrid>
                        <w:tr w:rsidR="00C07312" w14:paraId="419B2237" w14:textId="77777777" w:rsidTr="00C07312">
                          <w:trPr>
                            <w:trHeight w:val="465"/>
                          </w:trPr>
                          <w:tc>
                            <w:tcPr>
                              <w:tcW w:w="4732" w:type="pct"/>
                              <w:tcMar>
                                <w:top w:w="15" w:type="dxa"/>
                                <w:left w:w="300" w:type="dxa"/>
                                <w:bottom w:w="15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p w14:paraId="717C007A" w14:textId="77777777" w:rsidR="00C07312" w:rsidRDefault="00C07312">
                              <w:pPr>
                                <w:rPr>
                                  <w:rFonts w:ascii="Arial" w:hAnsi="Arial" w:cs="Arial"/>
                                  <w:color w:val="35786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35786E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37D23D27" wp14:editId="1780CD86">
                                    <wp:extent cx="914400" cy="381000"/>
                                    <wp:effectExtent l="0" t="0" r="0" b="0"/>
                                    <wp:docPr id="3" name="Picture 3" descr="cid:image017.jpg@01D9A393.76A07ED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cid:image017.jpg@01D9A393.76A07ED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r:link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68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20" w:type="dxa"/>
                              </w:tcMar>
                              <w:vAlign w:val="center"/>
                              <w:hideMark/>
                            </w:tcPr>
                            <w:p w14:paraId="3D2B4FA4" w14:textId="77777777" w:rsidR="00C07312" w:rsidRDefault="00C07312">
                              <w:pPr>
                                <w:rPr>
                                  <w:rFonts w:ascii="Arial" w:hAnsi="Arial" w:cs="Arial"/>
                                  <w:color w:val="35786E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777C7770" w14:textId="77777777" w:rsidR="00C07312" w:rsidRDefault="00C0731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AE0FAA1" w14:textId="77777777" w:rsidR="00C07312" w:rsidRDefault="00C0731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1611B94" w14:textId="77777777" w:rsidR="00C07312" w:rsidRDefault="00C0731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69038FD" w14:textId="77777777" w:rsidR="00C07312" w:rsidRPr="001A4E33" w:rsidRDefault="00C07312" w:rsidP="008B6FFF">
      <w:pPr>
        <w:spacing w:after="0" w:line="240" w:lineRule="auto"/>
        <w:rPr>
          <w:rFonts w:cstheme="minorHAnsi"/>
          <w:sz w:val="24"/>
          <w:szCs w:val="24"/>
        </w:rPr>
      </w:pPr>
    </w:p>
    <w:sectPr w:rsidR="00C07312" w:rsidRPr="001A4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0B09F4"/>
    <w:multiLevelType w:val="hybridMultilevel"/>
    <w:tmpl w:val="69F07B88"/>
    <w:lvl w:ilvl="0" w:tplc="AADAD8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55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76"/>
    <w:rsid w:val="00130345"/>
    <w:rsid w:val="001A4E33"/>
    <w:rsid w:val="001D2A32"/>
    <w:rsid w:val="00236476"/>
    <w:rsid w:val="002673BD"/>
    <w:rsid w:val="00271310"/>
    <w:rsid w:val="00327A02"/>
    <w:rsid w:val="00370B4C"/>
    <w:rsid w:val="00451ABD"/>
    <w:rsid w:val="0049442B"/>
    <w:rsid w:val="006B6771"/>
    <w:rsid w:val="006C7363"/>
    <w:rsid w:val="00783B4A"/>
    <w:rsid w:val="007F4F52"/>
    <w:rsid w:val="008B6FFF"/>
    <w:rsid w:val="009530E8"/>
    <w:rsid w:val="009F2607"/>
    <w:rsid w:val="00A122DB"/>
    <w:rsid w:val="00A42B5F"/>
    <w:rsid w:val="00AA4E3B"/>
    <w:rsid w:val="00C07312"/>
    <w:rsid w:val="00C933BC"/>
    <w:rsid w:val="00D75FF7"/>
    <w:rsid w:val="00D859E7"/>
    <w:rsid w:val="00DD7EB6"/>
    <w:rsid w:val="00DE435A"/>
    <w:rsid w:val="00E7019F"/>
    <w:rsid w:val="00E85D9F"/>
    <w:rsid w:val="00EF7B4E"/>
    <w:rsid w:val="00F66C03"/>
    <w:rsid w:val="00FD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99E81"/>
  <w15:chartTrackingRefBased/>
  <w15:docId w15:val="{24C7BD68-6580-4538-80F8-9B2AB6DC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E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4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E3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4E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E3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C73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5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Operations@tevaphar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vaengagemateresourcecente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16.jpg@01D9A393.76A07ED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cid:image017.jpg@01D9A393.76A07ED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Fedirka</dc:creator>
  <cp:keywords/>
  <dc:description/>
  <cp:lastModifiedBy>Heather Fedirka</cp:lastModifiedBy>
  <cp:revision>2</cp:revision>
  <dcterms:created xsi:type="dcterms:W3CDTF">2024-08-19T17:59:00Z</dcterms:created>
  <dcterms:modified xsi:type="dcterms:W3CDTF">2024-08-19T17:59:00Z</dcterms:modified>
</cp:coreProperties>
</file>