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3720"/>
      </w:tblGrid>
      <w:tr w:rsidR="009F2607" w14:paraId="16FF0993" w14:textId="77777777" w:rsidTr="00A535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20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77777777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68524948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2A8583" w14:textId="77777777" w:rsidR="009C44CE" w:rsidRDefault="009C44CE" w:rsidP="00210B5D">
      <w:pPr>
        <w:spacing w:after="0" w:line="240" w:lineRule="auto"/>
        <w:rPr>
          <w:rFonts w:cstheme="minorHAnsi"/>
          <w:sz w:val="24"/>
          <w:szCs w:val="24"/>
        </w:rPr>
      </w:pPr>
    </w:p>
    <w:p w14:paraId="24E13A0B" w14:textId="13FCCA25" w:rsidR="009C44CE" w:rsidRDefault="009C44CE" w:rsidP="00210B5D">
      <w:pPr>
        <w:spacing w:after="0" w:line="240" w:lineRule="auto"/>
        <w:rPr>
          <w:rFonts w:cstheme="minorHAnsi"/>
          <w:sz w:val="24"/>
          <w:szCs w:val="24"/>
        </w:rPr>
      </w:pPr>
      <w:r w:rsidRPr="009C44CE">
        <w:rPr>
          <w:rFonts w:cstheme="minorHAnsi"/>
          <w:color w:val="70AD47" w:themeColor="accent6"/>
          <w:sz w:val="40"/>
          <w:szCs w:val="40"/>
        </w:rPr>
        <w:t>We listened to your feedback!</w:t>
      </w:r>
      <w:r>
        <w:rPr>
          <w:rFonts w:cstheme="minorHAnsi"/>
          <w:sz w:val="24"/>
          <w:szCs w:val="24"/>
        </w:rPr>
        <w:t xml:space="preserve"> </w:t>
      </w:r>
    </w:p>
    <w:p w14:paraId="309272AC" w14:textId="77777777" w:rsidR="009C44CE" w:rsidRDefault="009C44CE" w:rsidP="00210B5D">
      <w:pPr>
        <w:spacing w:after="0" w:line="240" w:lineRule="auto"/>
        <w:rPr>
          <w:rFonts w:cstheme="minorHAnsi"/>
          <w:sz w:val="24"/>
          <w:szCs w:val="24"/>
        </w:rPr>
      </w:pPr>
    </w:p>
    <w:p w14:paraId="71657556" w14:textId="7250E800" w:rsidR="00210B5D" w:rsidRPr="00210B5D" w:rsidRDefault="0025327E" w:rsidP="00210B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</w:t>
      </w:r>
      <w:r w:rsidR="00210B5D" w:rsidRPr="00210B5D">
        <w:rPr>
          <w:rFonts w:cstheme="minorHAnsi"/>
          <w:sz w:val="24"/>
          <w:szCs w:val="24"/>
        </w:rPr>
        <w:t>EngageMate Users:</w:t>
      </w:r>
    </w:p>
    <w:p w14:paraId="5C536485" w14:textId="77777777" w:rsidR="00210B5D" w:rsidRPr="00210B5D" w:rsidRDefault="00210B5D" w:rsidP="00210B5D">
      <w:pPr>
        <w:spacing w:after="0" w:line="240" w:lineRule="auto"/>
        <w:rPr>
          <w:rFonts w:cstheme="minorHAnsi"/>
          <w:sz w:val="24"/>
          <w:szCs w:val="24"/>
        </w:rPr>
      </w:pPr>
      <w:r w:rsidRPr="00210B5D">
        <w:rPr>
          <w:rFonts w:cstheme="minorHAnsi"/>
          <w:sz w:val="24"/>
          <w:szCs w:val="24"/>
        </w:rPr>
        <w:t> </w:t>
      </w:r>
    </w:p>
    <w:p w14:paraId="62DE4873" w14:textId="502A541C" w:rsidR="0024577C" w:rsidRDefault="0024577C" w:rsidP="0024577C">
      <w:pPr>
        <w:spacing w:after="0" w:line="240" w:lineRule="auto"/>
        <w:rPr>
          <w:rFonts w:cstheme="minorHAnsi"/>
          <w:sz w:val="24"/>
          <w:szCs w:val="24"/>
        </w:rPr>
      </w:pPr>
      <w:r w:rsidRPr="0024577C">
        <w:rPr>
          <w:rFonts w:cstheme="minorHAnsi"/>
          <w:sz w:val="24"/>
          <w:szCs w:val="24"/>
        </w:rPr>
        <w:t xml:space="preserve">Teva’s Global Compliance &amp; Ethics Operations team has been working </w:t>
      </w:r>
      <w:r w:rsidR="00606F7E">
        <w:rPr>
          <w:rFonts w:cstheme="minorHAnsi"/>
          <w:sz w:val="24"/>
          <w:szCs w:val="24"/>
        </w:rPr>
        <w:t>with you</w:t>
      </w:r>
      <w:r w:rsidR="00473BF4">
        <w:rPr>
          <w:rFonts w:cstheme="minorHAnsi"/>
          <w:sz w:val="24"/>
          <w:szCs w:val="24"/>
        </w:rPr>
        <w:t xml:space="preserve">, our </w:t>
      </w:r>
      <w:r w:rsidRPr="0024577C">
        <w:rPr>
          <w:rFonts w:cstheme="minorHAnsi"/>
          <w:sz w:val="24"/>
          <w:szCs w:val="24"/>
        </w:rPr>
        <w:t>submitters and reviewers</w:t>
      </w:r>
      <w:r w:rsidR="00473BF4">
        <w:rPr>
          <w:rFonts w:cstheme="minorHAnsi"/>
          <w:sz w:val="24"/>
          <w:szCs w:val="24"/>
        </w:rPr>
        <w:t>,</w:t>
      </w:r>
      <w:r w:rsidRPr="0024577C">
        <w:rPr>
          <w:rFonts w:cstheme="minorHAnsi"/>
          <w:sz w:val="24"/>
          <w:szCs w:val="24"/>
        </w:rPr>
        <w:t xml:space="preserve"> to enhance EngageMate’s functionality and elevate your experience. Today, we’re thrilled to share the latest system enhancements, set to be released on </w:t>
      </w:r>
      <w:r w:rsidR="0036348E">
        <w:rPr>
          <w:rFonts w:cstheme="minorHAnsi"/>
          <w:sz w:val="24"/>
          <w:szCs w:val="24"/>
        </w:rPr>
        <w:t>April 24</w:t>
      </w:r>
      <w:r w:rsidR="00EA37AF">
        <w:rPr>
          <w:rFonts w:cstheme="minorHAnsi"/>
          <w:sz w:val="24"/>
          <w:szCs w:val="24"/>
        </w:rPr>
        <w:t>, 2025</w:t>
      </w:r>
      <w:r w:rsidRPr="0024577C">
        <w:rPr>
          <w:rFonts w:cstheme="minorHAnsi"/>
          <w:sz w:val="24"/>
          <w:szCs w:val="24"/>
        </w:rPr>
        <w:t xml:space="preserve">. </w:t>
      </w:r>
    </w:p>
    <w:p w14:paraId="45FF6D3D" w14:textId="77777777" w:rsidR="0024577C" w:rsidRPr="0024577C" w:rsidRDefault="0024577C" w:rsidP="0024577C">
      <w:pPr>
        <w:spacing w:after="0" w:line="240" w:lineRule="auto"/>
        <w:rPr>
          <w:rFonts w:cstheme="minorHAnsi"/>
          <w:sz w:val="24"/>
          <w:szCs w:val="24"/>
        </w:rPr>
      </w:pPr>
    </w:p>
    <w:p w14:paraId="048E5DC4" w14:textId="4D0D5B0D" w:rsidR="0024577C" w:rsidRPr="0024577C" w:rsidRDefault="0024577C" w:rsidP="0024577C">
      <w:pPr>
        <w:spacing w:after="0" w:line="240" w:lineRule="auto"/>
        <w:rPr>
          <w:rFonts w:cstheme="minorHAnsi"/>
          <w:sz w:val="24"/>
          <w:szCs w:val="24"/>
        </w:rPr>
      </w:pPr>
      <w:r w:rsidRPr="0024577C">
        <w:rPr>
          <w:rFonts w:cstheme="minorHAnsi"/>
          <w:sz w:val="24"/>
          <w:szCs w:val="24"/>
        </w:rPr>
        <w:t>In addition to Close Out, Account Delegation</w:t>
      </w:r>
      <w:r w:rsidR="00BF7384">
        <w:rPr>
          <w:rFonts w:cstheme="minorHAnsi"/>
          <w:sz w:val="24"/>
          <w:szCs w:val="24"/>
        </w:rPr>
        <w:t xml:space="preserve"> and other</w:t>
      </w:r>
      <w:r w:rsidRPr="0024577C">
        <w:rPr>
          <w:rFonts w:cstheme="minorHAnsi"/>
          <w:sz w:val="24"/>
          <w:szCs w:val="24"/>
        </w:rPr>
        <w:t xml:space="preserve"> enhancements, we have also improved how your email notifications relay information to you. Please continue reading to see </w:t>
      </w:r>
      <w:r w:rsidR="00401F75">
        <w:rPr>
          <w:rFonts w:cstheme="minorHAnsi"/>
          <w:sz w:val="24"/>
          <w:szCs w:val="24"/>
        </w:rPr>
        <w:t xml:space="preserve">all of </w:t>
      </w:r>
      <w:r w:rsidRPr="0024577C">
        <w:rPr>
          <w:rFonts w:cstheme="minorHAnsi"/>
          <w:sz w:val="24"/>
          <w:szCs w:val="24"/>
        </w:rPr>
        <w:t>the updates you can expect to see with this release.</w:t>
      </w:r>
      <w:r w:rsidR="00436516">
        <w:rPr>
          <w:rFonts w:cstheme="minorHAnsi"/>
          <w:sz w:val="24"/>
          <w:szCs w:val="24"/>
        </w:rPr>
        <w:t xml:space="preserve"> </w:t>
      </w:r>
      <w:r w:rsidR="00436516" w:rsidRPr="0024577C">
        <w:rPr>
          <w:rFonts w:cstheme="minorHAnsi"/>
          <w:sz w:val="24"/>
          <w:szCs w:val="24"/>
        </w:rPr>
        <w:t>Get ready for a smoother, more efficient EngageMate!</w:t>
      </w:r>
    </w:p>
    <w:p w14:paraId="01DB8AC3" w14:textId="77777777" w:rsidR="00210B5D" w:rsidRPr="00210B5D" w:rsidRDefault="00210B5D" w:rsidP="00210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62"/>
        <w:gridCol w:w="1510"/>
        <w:gridCol w:w="4860"/>
      </w:tblGrid>
      <w:tr w:rsidR="00210B5D" w:rsidRPr="00210B5D" w14:paraId="6068FFC6" w14:textId="77777777" w:rsidTr="00D13563">
        <w:trPr>
          <w:tblHeader/>
        </w:trPr>
        <w:tc>
          <w:tcPr>
            <w:tcW w:w="1518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9207" w14:textId="77777777" w:rsidR="00210B5D" w:rsidRPr="00210B5D" w:rsidRDefault="00210B5D" w:rsidP="00210B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b/>
                <w:bCs/>
                <w:sz w:val="24"/>
                <w:szCs w:val="24"/>
              </w:rPr>
              <w:t>Functionality</w:t>
            </w:r>
          </w:p>
        </w:tc>
        <w:tc>
          <w:tcPr>
            <w:tcW w:w="1462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0537" w14:textId="77777777" w:rsidR="00210B5D" w:rsidRPr="00210B5D" w:rsidRDefault="00210B5D" w:rsidP="00210B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51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CD66" w14:textId="77777777" w:rsidR="00210B5D" w:rsidRPr="00210B5D" w:rsidRDefault="00210B5D" w:rsidP="00210B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b/>
                <w:bCs/>
                <w:sz w:val="24"/>
                <w:szCs w:val="24"/>
              </w:rPr>
              <w:t>User Roles</w:t>
            </w:r>
          </w:p>
        </w:tc>
        <w:tc>
          <w:tcPr>
            <w:tcW w:w="4860" w:type="dxa"/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814B" w14:textId="77777777" w:rsidR="00210B5D" w:rsidRPr="00210B5D" w:rsidRDefault="00210B5D" w:rsidP="00210B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b/>
                <w:bCs/>
                <w:sz w:val="24"/>
                <w:szCs w:val="24"/>
              </w:rPr>
              <w:t>Enhancement Description</w:t>
            </w:r>
          </w:p>
        </w:tc>
      </w:tr>
      <w:tr w:rsidR="00D65116" w:rsidRPr="00210B5D" w14:paraId="4D0ADADA" w14:textId="77777777" w:rsidTr="00D13563">
        <w:tc>
          <w:tcPr>
            <w:tcW w:w="1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2D7D" w14:textId="77777777" w:rsidR="00D65116" w:rsidRPr="00210B5D" w:rsidRDefault="00D65116" w:rsidP="00D651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Usability</w:t>
            </w: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F717" w14:textId="6AA79DED" w:rsidR="00D65116" w:rsidRPr="00210B5D" w:rsidRDefault="00D65116" w:rsidP="00D651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Close-out Template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0FA9" w14:textId="4C60F0D6" w:rsidR="00D65116" w:rsidRPr="00210B5D" w:rsidRDefault="00D65116" w:rsidP="00D651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AC39" w14:textId="3E70DE1E" w:rsidR="00D65116" w:rsidRPr="00210B5D" w:rsidRDefault="00D65116" w:rsidP="00D651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 xml:space="preserve">To facilitate efficient bulk uploading of expense/spend data in close-out, </w:t>
            </w:r>
            <w:r w:rsidRPr="00210B5D">
              <w:rPr>
                <w:rFonts w:cstheme="minorHAnsi"/>
                <w:b/>
                <w:bCs/>
                <w:sz w:val="24"/>
                <w:szCs w:val="24"/>
              </w:rPr>
              <w:t xml:space="preserve">EngageMate close-out spreadsheet </w:t>
            </w:r>
            <w:r w:rsidR="007B52DA">
              <w:rPr>
                <w:rFonts w:cstheme="minorHAnsi"/>
                <w:b/>
                <w:bCs/>
                <w:sz w:val="24"/>
                <w:szCs w:val="24"/>
              </w:rPr>
              <w:t xml:space="preserve">now contains the </w:t>
            </w:r>
            <w:r w:rsidR="006267F2">
              <w:rPr>
                <w:rFonts w:cstheme="minorHAnsi"/>
                <w:b/>
                <w:bCs/>
                <w:sz w:val="24"/>
                <w:szCs w:val="24"/>
              </w:rPr>
              <w:t xml:space="preserve">correct </w:t>
            </w:r>
            <w:r w:rsidR="00BC27FE">
              <w:rPr>
                <w:rFonts w:cstheme="minorHAnsi"/>
                <w:b/>
                <w:bCs/>
                <w:sz w:val="24"/>
                <w:szCs w:val="24"/>
              </w:rPr>
              <w:t>date format to use (DD-</w:t>
            </w:r>
            <w:r w:rsidR="00CE71A1">
              <w:rPr>
                <w:rFonts w:cstheme="minorHAnsi"/>
                <w:b/>
                <w:bCs/>
                <w:sz w:val="24"/>
                <w:szCs w:val="24"/>
              </w:rPr>
              <w:t>Mon-</w:t>
            </w:r>
            <w:proofErr w:type="spellStart"/>
            <w:proofErr w:type="gramStart"/>
            <w:r w:rsidR="00BC27FE">
              <w:rPr>
                <w:rFonts w:cstheme="minorHAnsi"/>
                <w:b/>
                <w:bCs/>
                <w:sz w:val="24"/>
                <w:szCs w:val="24"/>
              </w:rPr>
              <w:t>YYYY</w:t>
            </w:r>
            <w:proofErr w:type="spellEnd"/>
            <w:r w:rsidR="009C1BDA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227E3B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proofErr w:type="gramEnd"/>
            <w:r w:rsidR="009C1BDA">
              <w:rPr>
                <w:rFonts w:cstheme="minorHAnsi"/>
                <w:b/>
                <w:bCs/>
                <w:sz w:val="24"/>
                <w:szCs w:val="24"/>
              </w:rPr>
              <w:t xml:space="preserve">i.e., </w:t>
            </w:r>
            <w:r w:rsidR="00227E3B">
              <w:rPr>
                <w:rFonts w:cstheme="minorHAnsi"/>
                <w:b/>
                <w:bCs/>
                <w:sz w:val="24"/>
                <w:szCs w:val="24"/>
              </w:rPr>
              <w:t>31-Jan-2025</w:t>
            </w:r>
            <w:r w:rsidR="00BC27FE">
              <w:rPr>
                <w:rFonts w:cstheme="minorHAnsi"/>
                <w:b/>
                <w:bCs/>
                <w:sz w:val="24"/>
                <w:szCs w:val="24"/>
              </w:rPr>
              <w:t>).</w:t>
            </w:r>
          </w:p>
        </w:tc>
      </w:tr>
      <w:tr w:rsidR="002C426D" w:rsidRPr="00210B5D" w14:paraId="5F8E4361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CA58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8536" w14:textId="6C5FAB53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Close-out Template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2A07" w14:textId="2D3C81CB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3E56" w14:textId="54F686E2" w:rsidR="002C426D" w:rsidRPr="00210B5D" w:rsidRDefault="7FAF04D0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To facilitate efficient bulk uploading of expense/spend data in close-out, </w:t>
            </w:r>
            <w:r w:rsidR="247E68AA" w:rsidRPr="466E6B7D">
              <w:rPr>
                <w:sz w:val="24"/>
                <w:szCs w:val="24"/>
              </w:rPr>
              <w:t xml:space="preserve">a pop-up window will appear after the close-out spreadsheet is uploaded.  </w:t>
            </w:r>
            <w:r w:rsidR="2E34F7ED" w:rsidRPr="466E6B7D">
              <w:rPr>
                <w:b/>
                <w:bCs/>
                <w:sz w:val="24"/>
                <w:szCs w:val="24"/>
              </w:rPr>
              <w:t xml:space="preserve">The </w:t>
            </w:r>
            <w:r w:rsidR="05644629" w:rsidRPr="466E6B7D">
              <w:rPr>
                <w:b/>
                <w:bCs/>
                <w:sz w:val="24"/>
                <w:szCs w:val="24"/>
              </w:rPr>
              <w:t>new</w:t>
            </w:r>
            <w:r w:rsidRPr="466E6B7D">
              <w:rPr>
                <w:b/>
                <w:bCs/>
                <w:sz w:val="24"/>
                <w:szCs w:val="24"/>
              </w:rPr>
              <w:t xml:space="preserve"> pop-up </w:t>
            </w:r>
            <w:r w:rsidR="10A83A33" w:rsidRPr="466E6B7D">
              <w:rPr>
                <w:b/>
                <w:bCs/>
                <w:sz w:val="24"/>
                <w:szCs w:val="24"/>
              </w:rPr>
              <w:t>message</w:t>
            </w:r>
            <w:r w:rsidRPr="466E6B7D">
              <w:rPr>
                <w:b/>
                <w:bCs/>
                <w:sz w:val="24"/>
                <w:szCs w:val="24"/>
              </w:rPr>
              <w:t xml:space="preserve"> </w:t>
            </w:r>
            <w:r w:rsidR="05644629" w:rsidRPr="466E6B7D">
              <w:rPr>
                <w:b/>
                <w:bCs/>
                <w:sz w:val="24"/>
                <w:szCs w:val="24"/>
              </w:rPr>
              <w:t xml:space="preserve">will </w:t>
            </w:r>
            <w:r w:rsidRPr="466E6B7D">
              <w:rPr>
                <w:b/>
                <w:bCs/>
                <w:sz w:val="24"/>
                <w:szCs w:val="24"/>
              </w:rPr>
              <w:t xml:space="preserve">display any errors </w:t>
            </w:r>
            <w:r w:rsidR="1FF1A9D9" w:rsidRPr="466E6B7D">
              <w:rPr>
                <w:b/>
                <w:bCs/>
                <w:sz w:val="24"/>
                <w:szCs w:val="24"/>
              </w:rPr>
              <w:t xml:space="preserve">(i.e., formatting or missing required </w:t>
            </w:r>
            <w:r w:rsidR="38D52BB8" w:rsidRPr="466E6B7D">
              <w:rPr>
                <w:b/>
                <w:bCs/>
                <w:sz w:val="24"/>
                <w:szCs w:val="24"/>
              </w:rPr>
              <w:t>data</w:t>
            </w:r>
            <w:r w:rsidR="1FF1A9D9" w:rsidRPr="466E6B7D">
              <w:rPr>
                <w:b/>
                <w:bCs/>
                <w:sz w:val="24"/>
                <w:szCs w:val="24"/>
              </w:rPr>
              <w:t xml:space="preserve">) </w:t>
            </w:r>
            <w:r w:rsidR="38D52BB8" w:rsidRPr="466E6B7D">
              <w:rPr>
                <w:b/>
                <w:bCs/>
                <w:sz w:val="24"/>
                <w:szCs w:val="24"/>
              </w:rPr>
              <w:t xml:space="preserve">that </w:t>
            </w:r>
            <w:r w:rsidR="749C0DD5" w:rsidRPr="466E6B7D">
              <w:rPr>
                <w:b/>
                <w:bCs/>
                <w:sz w:val="24"/>
                <w:szCs w:val="24"/>
              </w:rPr>
              <w:t xml:space="preserve">were </w:t>
            </w:r>
            <w:r w:rsidR="38D52BB8" w:rsidRPr="466E6B7D">
              <w:rPr>
                <w:b/>
                <w:bCs/>
                <w:sz w:val="24"/>
                <w:szCs w:val="24"/>
              </w:rPr>
              <w:t xml:space="preserve">found </w:t>
            </w:r>
            <w:r w:rsidRPr="466E6B7D">
              <w:rPr>
                <w:b/>
                <w:bCs/>
                <w:sz w:val="24"/>
                <w:szCs w:val="24"/>
              </w:rPr>
              <w:t>in your spreadsheet.</w:t>
            </w:r>
            <w:r w:rsidR="30C81767" w:rsidRPr="466E6B7D">
              <w:rPr>
                <w:b/>
                <w:bCs/>
                <w:sz w:val="24"/>
                <w:szCs w:val="24"/>
              </w:rPr>
              <w:t xml:space="preserve">  </w:t>
            </w:r>
            <w:r w:rsidR="30C81767" w:rsidRPr="466E6B7D">
              <w:rPr>
                <w:sz w:val="24"/>
                <w:szCs w:val="24"/>
              </w:rPr>
              <w:t xml:space="preserve">Submitters can either continue the upload with errors </w:t>
            </w:r>
            <w:r w:rsidR="25950FC7" w:rsidRPr="466E6B7D">
              <w:rPr>
                <w:sz w:val="24"/>
                <w:szCs w:val="24"/>
              </w:rPr>
              <w:t xml:space="preserve">and then correct errors manually </w:t>
            </w:r>
            <w:r w:rsidR="30C81767" w:rsidRPr="466E6B7D">
              <w:rPr>
                <w:sz w:val="24"/>
                <w:szCs w:val="24"/>
              </w:rPr>
              <w:t>or cancel and update their spreadsheet.</w:t>
            </w:r>
          </w:p>
        </w:tc>
      </w:tr>
      <w:tr w:rsidR="002C426D" w:rsidRPr="00210B5D" w14:paraId="37947FFD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F0F6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F61F" w14:textId="519CDD09" w:rsidR="002C426D" w:rsidRPr="00210B5D" w:rsidRDefault="00796B3E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Close-out</w:t>
            </w:r>
            <w:r>
              <w:rPr>
                <w:rFonts w:cstheme="minorHAnsi"/>
                <w:sz w:val="24"/>
                <w:szCs w:val="24"/>
              </w:rPr>
              <w:t xml:space="preserve"> Tab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B431" w14:textId="1A141F8A" w:rsidR="002C426D" w:rsidRPr="00210B5D" w:rsidRDefault="00796B3E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Submitters</w:t>
            </w:r>
            <w:r w:rsidR="00B008FD">
              <w:rPr>
                <w:rFonts w:cstheme="minorHAnsi"/>
                <w:sz w:val="24"/>
                <w:szCs w:val="24"/>
              </w:rPr>
              <w:t xml:space="preserve"> &amp; Project Originators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86BB" w14:textId="3DD64AE2" w:rsidR="00977AB1" w:rsidRPr="00210B5D" w:rsidRDefault="009E2547" w:rsidP="00A45B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When either the Submitter or Project Originator clicks “Certify and Close” button, </w:t>
            </w:r>
            <w:r w:rsidRPr="00832BA5"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  <w:r w:rsidR="001452E9" w:rsidRPr="00832BA5">
              <w:rPr>
                <w:rFonts w:cstheme="minorHAnsi"/>
                <w:b/>
                <w:bCs/>
                <w:sz w:val="24"/>
                <w:szCs w:val="24"/>
              </w:rPr>
              <w:t>new</w:t>
            </w:r>
            <w:r w:rsidR="001452E9">
              <w:rPr>
                <w:rFonts w:cstheme="minorHAnsi"/>
                <w:sz w:val="24"/>
                <w:szCs w:val="24"/>
              </w:rPr>
              <w:t xml:space="preserve"> </w:t>
            </w:r>
            <w:r w:rsidRPr="00977AB1">
              <w:rPr>
                <w:rFonts w:cstheme="minorHAnsi"/>
                <w:b/>
                <w:bCs/>
                <w:sz w:val="24"/>
                <w:szCs w:val="24"/>
              </w:rPr>
              <w:t xml:space="preserve">pop-up message </w:t>
            </w:r>
            <w:r w:rsidR="001C56CA">
              <w:rPr>
                <w:rFonts w:cstheme="minorHAnsi"/>
                <w:b/>
                <w:bCs/>
                <w:sz w:val="24"/>
                <w:szCs w:val="24"/>
              </w:rPr>
              <w:t>will</w:t>
            </w:r>
            <w:r w:rsidR="001452E9">
              <w:rPr>
                <w:rFonts w:cstheme="minorHAnsi"/>
                <w:b/>
                <w:bCs/>
                <w:sz w:val="24"/>
                <w:szCs w:val="24"/>
              </w:rPr>
              <w:t xml:space="preserve"> confirm </w:t>
            </w:r>
            <w:r w:rsidRPr="00977AB1">
              <w:rPr>
                <w:rFonts w:cstheme="minorHAnsi"/>
                <w:b/>
                <w:bCs/>
                <w:sz w:val="24"/>
                <w:szCs w:val="24"/>
              </w:rPr>
              <w:t>the activity will be closed</w:t>
            </w:r>
            <w:r w:rsidR="00977AB1" w:rsidRPr="00977AB1">
              <w:rPr>
                <w:rFonts w:cstheme="minorHAnsi"/>
                <w:b/>
                <w:bCs/>
                <w:sz w:val="24"/>
                <w:szCs w:val="24"/>
              </w:rPr>
              <w:t xml:space="preserve"> and no further edits can be made</w:t>
            </w:r>
            <w:r w:rsidR="00B3794B">
              <w:rPr>
                <w:rFonts w:cstheme="minorHAnsi"/>
                <w:b/>
                <w:bCs/>
                <w:sz w:val="24"/>
                <w:szCs w:val="24"/>
              </w:rPr>
              <w:t xml:space="preserve"> after the activity is closed</w:t>
            </w:r>
            <w:r w:rsidR="00977AB1">
              <w:rPr>
                <w:rFonts w:cstheme="minorHAnsi"/>
                <w:sz w:val="24"/>
                <w:szCs w:val="24"/>
              </w:rPr>
              <w:t>.</w:t>
            </w:r>
            <w:r w:rsidR="00A45BE5">
              <w:rPr>
                <w:rFonts w:cstheme="minorHAnsi"/>
                <w:sz w:val="24"/>
                <w:szCs w:val="24"/>
              </w:rPr>
              <w:t xml:space="preserve"> Remember, </w:t>
            </w:r>
            <w:r w:rsidR="00A45BE5">
              <w:rPr>
                <w:rFonts w:cstheme="minorHAnsi"/>
                <w:sz w:val="24"/>
                <w:szCs w:val="24"/>
              </w:rPr>
              <w:lastRenderedPageBreak/>
              <w:t xml:space="preserve">you can continue to upload documents in the close-out section even if the </w:t>
            </w:r>
            <w:r w:rsidR="00977AB1">
              <w:rPr>
                <w:rFonts w:cstheme="minorHAnsi"/>
                <w:sz w:val="24"/>
                <w:szCs w:val="24"/>
              </w:rPr>
              <w:t>activity is closed.</w:t>
            </w:r>
          </w:p>
        </w:tc>
      </w:tr>
      <w:tr w:rsidR="002C426D" w:rsidRPr="00210B5D" w14:paraId="454E9F2D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8687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A429" w14:textId="33A18680" w:rsidR="002C426D" w:rsidRPr="00210B5D" w:rsidRDefault="006803F0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Delegation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ECC" w14:textId="15BBD35C" w:rsidR="002C426D" w:rsidRPr="00210B5D" w:rsidRDefault="006803F0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EA26" w14:textId="75064610" w:rsidR="002C426D" w:rsidRPr="00210B5D" w:rsidRDefault="00EA20DC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Logging into </w:t>
            </w:r>
            <w:r w:rsidR="007A3ACE">
              <w:rPr>
                <w:rFonts w:cstheme="minorHAnsi"/>
                <w:sz w:val="24"/>
                <w:szCs w:val="24"/>
              </w:rPr>
              <w:t>EngageMate</w:t>
            </w:r>
            <w:r>
              <w:rPr>
                <w:rFonts w:cstheme="minorHAnsi"/>
                <w:sz w:val="24"/>
                <w:szCs w:val="24"/>
              </w:rPr>
              <w:t xml:space="preserve"> with a</w:t>
            </w:r>
            <w:r w:rsidR="00E54DAE">
              <w:rPr>
                <w:rFonts w:cstheme="minorHAnsi"/>
                <w:sz w:val="24"/>
                <w:szCs w:val="24"/>
              </w:rPr>
              <w:t xml:space="preserve">n active delegation to another user results in </w:t>
            </w:r>
            <w:r w:rsidR="006803F0">
              <w:rPr>
                <w:rFonts w:cstheme="minorHAnsi"/>
                <w:sz w:val="24"/>
                <w:szCs w:val="24"/>
              </w:rPr>
              <w:t xml:space="preserve">a </w:t>
            </w:r>
            <w:r w:rsidR="006803F0" w:rsidRPr="006803F0">
              <w:rPr>
                <w:rFonts w:cstheme="minorHAnsi"/>
                <w:b/>
                <w:bCs/>
                <w:sz w:val="24"/>
                <w:szCs w:val="24"/>
              </w:rPr>
              <w:t>pop-up message letting you know your account is currently delegated</w:t>
            </w:r>
            <w:r w:rsidR="006803F0">
              <w:rPr>
                <w:rFonts w:cstheme="minorHAnsi"/>
                <w:sz w:val="24"/>
                <w:szCs w:val="24"/>
              </w:rPr>
              <w:t xml:space="preserve">.  </w:t>
            </w:r>
          </w:p>
        </w:tc>
      </w:tr>
      <w:tr w:rsidR="00467324" w:rsidRPr="00210B5D" w14:paraId="16B59E6D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0210" w14:textId="77777777" w:rsidR="00467324" w:rsidRPr="00210B5D" w:rsidRDefault="00467324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0378" w14:textId="3A076DCA" w:rsidR="00467324" w:rsidRDefault="00467324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Delegation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DC66" w14:textId="597659DA" w:rsidR="00467324" w:rsidRDefault="00467324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Compliance Reviewer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0BAC" w14:textId="1879BE8E" w:rsidR="00467324" w:rsidRDefault="00467324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When the Compliance Reviewer accesses the Account Delegation </w:t>
            </w:r>
            <w:r w:rsidR="009869AE">
              <w:rPr>
                <w:rFonts w:cstheme="minorHAnsi"/>
                <w:sz w:val="24"/>
                <w:szCs w:val="24"/>
              </w:rPr>
              <w:t>tab,</w:t>
            </w:r>
            <w:r w:rsidR="002B1A59">
              <w:rPr>
                <w:rFonts w:cstheme="minorHAnsi"/>
                <w:sz w:val="24"/>
                <w:szCs w:val="24"/>
              </w:rPr>
              <w:t xml:space="preserve"> they will now be able to see all delegations </w:t>
            </w:r>
            <w:r w:rsidR="00D92FE2">
              <w:rPr>
                <w:rFonts w:cstheme="minorHAnsi"/>
                <w:sz w:val="24"/>
                <w:szCs w:val="24"/>
              </w:rPr>
              <w:t>(both active and inactive).</w:t>
            </w:r>
          </w:p>
        </w:tc>
      </w:tr>
      <w:tr w:rsidR="002C426D" w:rsidRPr="00210B5D" w14:paraId="66B75D8F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222F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1E2C" w14:textId="69C94BCD" w:rsidR="002C426D" w:rsidRPr="00210B5D" w:rsidRDefault="00CC7DE8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Dashboard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4133" w14:textId="5307FE82" w:rsidR="002C426D" w:rsidRPr="00210B5D" w:rsidRDefault="004917BF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F262" w14:textId="2E6B0E9D" w:rsidR="002C426D" w:rsidRPr="00210B5D" w:rsidRDefault="00897406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Users can now view when there is a difference between </w:t>
            </w:r>
            <w:r w:rsidR="006F67BF" w:rsidRPr="009C3389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2A1623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6F67BF" w:rsidRPr="009C3389">
              <w:rPr>
                <w:rFonts w:cstheme="minorHAnsi"/>
                <w:b/>
                <w:bCs/>
                <w:sz w:val="24"/>
                <w:szCs w:val="24"/>
              </w:rPr>
              <w:t xml:space="preserve">stimated </w:t>
            </w:r>
            <w:r w:rsidR="002A1623">
              <w:rPr>
                <w:rFonts w:cstheme="minorHAnsi"/>
                <w:b/>
                <w:bCs/>
                <w:sz w:val="24"/>
                <w:szCs w:val="24"/>
              </w:rPr>
              <w:t>Budget A</w:t>
            </w:r>
            <w:r w:rsidR="006F67BF" w:rsidRPr="009C3389">
              <w:rPr>
                <w:rFonts w:cstheme="minorHAnsi"/>
                <w:b/>
                <w:bCs/>
                <w:sz w:val="24"/>
                <w:szCs w:val="24"/>
              </w:rPr>
              <w:t xml:space="preserve">mount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r w:rsidR="002A1623">
              <w:rPr>
                <w:rFonts w:cstheme="minorHAnsi"/>
                <w:b/>
                <w:bCs/>
                <w:sz w:val="24"/>
                <w:szCs w:val="24"/>
              </w:rPr>
              <w:t>the C</w:t>
            </w:r>
            <w:r w:rsidR="00DC04F9">
              <w:rPr>
                <w:rFonts w:cstheme="minorHAnsi"/>
                <w:b/>
                <w:bCs/>
                <w:sz w:val="24"/>
                <w:szCs w:val="24"/>
              </w:rPr>
              <w:t>lose-</w:t>
            </w:r>
            <w:r w:rsidR="002A162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DC04F9">
              <w:rPr>
                <w:rFonts w:cstheme="minorHAnsi"/>
                <w:b/>
                <w:bCs/>
                <w:sz w:val="24"/>
                <w:szCs w:val="24"/>
              </w:rPr>
              <w:t>ut</w:t>
            </w:r>
            <w:r w:rsidR="006277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A1623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27729">
              <w:rPr>
                <w:rFonts w:cstheme="minorHAnsi"/>
                <w:b/>
                <w:bCs/>
                <w:sz w:val="24"/>
                <w:szCs w:val="24"/>
              </w:rPr>
              <w:t>pend total</w:t>
            </w:r>
            <w:r w:rsidR="006F67BF">
              <w:rPr>
                <w:rFonts w:cstheme="minorHAnsi"/>
                <w:sz w:val="24"/>
                <w:szCs w:val="24"/>
              </w:rPr>
              <w:t xml:space="preserve">.  </w:t>
            </w:r>
            <w:r w:rsidR="002A1623">
              <w:rPr>
                <w:rFonts w:cstheme="minorHAnsi"/>
                <w:sz w:val="24"/>
                <w:szCs w:val="24"/>
              </w:rPr>
              <w:t xml:space="preserve"> </w:t>
            </w:r>
            <w:r w:rsidR="006F67BF">
              <w:rPr>
                <w:rFonts w:cstheme="minorHAnsi"/>
                <w:sz w:val="24"/>
                <w:szCs w:val="24"/>
              </w:rPr>
              <w:t xml:space="preserve">This new feature </w:t>
            </w:r>
            <w:r w:rsidR="00AE47D9">
              <w:rPr>
                <w:rFonts w:cstheme="minorHAnsi"/>
                <w:sz w:val="24"/>
                <w:szCs w:val="24"/>
              </w:rPr>
              <w:t xml:space="preserve">is </w:t>
            </w:r>
            <w:r w:rsidR="006F67BF">
              <w:rPr>
                <w:rFonts w:cstheme="minorHAnsi"/>
                <w:sz w:val="24"/>
                <w:szCs w:val="24"/>
              </w:rPr>
              <w:t xml:space="preserve">located on the </w:t>
            </w:r>
            <w:r w:rsidR="000A244B" w:rsidRPr="00AE47D9">
              <w:rPr>
                <w:rFonts w:cstheme="minorHAnsi"/>
                <w:b/>
                <w:bCs/>
                <w:sz w:val="24"/>
                <w:szCs w:val="24"/>
              </w:rPr>
              <w:t>Activity Details</w:t>
            </w:r>
            <w:r w:rsidR="006F67BF" w:rsidRPr="00A74E53">
              <w:rPr>
                <w:rFonts w:cstheme="minorHAnsi"/>
                <w:b/>
                <w:bCs/>
                <w:sz w:val="24"/>
                <w:szCs w:val="24"/>
              </w:rPr>
              <w:t xml:space="preserve"> tab</w:t>
            </w:r>
            <w:r w:rsidR="006F67BF">
              <w:rPr>
                <w:rFonts w:cstheme="minorHAnsi"/>
                <w:sz w:val="24"/>
                <w:szCs w:val="24"/>
              </w:rPr>
              <w:t xml:space="preserve"> of </w:t>
            </w:r>
            <w:r w:rsidR="009B7541">
              <w:rPr>
                <w:rFonts w:cstheme="minorHAnsi"/>
                <w:sz w:val="24"/>
                <w:szCs w:val="24"/>
              </w:rPr>
              <w:t xml:space="preserve">the Dashboards. </w:t>
            </w:r>
          </w:p>
        </w:tc>
      </w:tr>
      <w:tr w:rsidR="002C426D" w:rsidRPr="00210B5D" w14:paraId="5A20C9CC" w14:textId="77777777" w:rsidTr="00D13563">
        <w:tc>
          <w:tcPr>
            <w:tcW w:w="0" w:type="auto"/>
            <w:vMerge/>
            <w:vAlign w:val="center"/>
            <w:hideMark/>
          </w:tcPr>
          <w:p w14:paraId="347AB65C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C71A" w14:textId="3AC9082E" w:rsidR="002C426D" w:rsidRPr="00210B5D" w:rsidRDefault="003C3A29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 Details Tab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2EEC" w14:textId="3A265687" w:rsidR="002C426D" w:rsidRPr="00210B5D" w:rsidRDefault="003C3A29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04F3" w14:textId="456DDA89" w:rsidR="002C426D" w:rsidRPr="00210B5D" w:rsidRDefault="6632ECB2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When </w:t>
            </w:r>
            <w:r w:rsidR="49EEBA26" w:rsidRPr="466E6B7D">
              <w:rPr>
                <w:sz w:val="24"/>
                <w:szCs w:val="24"/>
              </w:rPr>
              <w:t>answering</w:t>
            </w:r>
            <w:r w:rsidR="4E2375D9" w:rsidRPr="466E6B7D">
              <w:rPr>
                <w:sz w:val="24"/>
                <w:szCs w:val="24"/>
              </w:rPr>
              <w:t xml:space="preserve"> “</w:t>
            </w:r>
            <w:r w:rsidR="0DFC23E8" w:rsidRPr="466E6B7D">
              <w:rPr>
                <w:sz w:val="24"/>
                <w:szCs w:val="24"/>
              </w:rPr>
              <w:t>Y</w:t>
            </w:r>
            <w:r w:rsidR="4E2375D9" w:rsidRPr="466E6B7D">
              <w:rPr>
                <w:sz w:val="24"/>
                <w:szCs w:val="24"/>
              </w:rPr>
              <w:t xml:space="preserve">es” to the question “Will you use a </w:t>
            </w:r>
            <w:proofErr w:type="gramStart"/>
            <w:r w:rsidR="4E2375D9" w:rsidRPr="466E6B7D">
              <w:rPr>
                <w:sz w:val="24"/>
                <w:szCs w:val="24"/>
              </w:rPr>
              <w:t>Third Party</w:t>
            </w:r>
            <w:proofErr w:type="gramEnd"/>
            <w:r w:rsidR="4E2375D9" w:rsidRPr="466E6B7D">
              <w:rPr>
                <w:sz w:val="24"/>
                <w:szCs w:val="24"/>
              </w:rPr>
              <w:t xml:space="preserve"> Representative”, </w:t>
            </w:r>
            <w:r w:rsidRPr="466E6B7D">
              <w:rPr>
                <w:sz w:val="24"/>
                <w:szCs w:val="24"/>
              </w:rPr>
              <w:t xml:space="preserve">a </w:t>
            </w:r>
            <w:r w:rsidR="4E2375D9" w:rsidRPr="466E6B7D">
              <w:rPr>
                <w:b/>
                <w:bCs/>
                <w:sz w:val="24"/>
                <w:szCs w:val="24"/>
              </w:rPr>
              <w:t xml:space="preserve">grid </w:t>
            </w:r>
            <w:r w:rsidR="6AF24F85" w:rsidRPr="466E6B7D">
              <w:rPr>
                <w:b/>
                <w:bCs/>
                <w:sz w:val="24"/>
                <w:szCs w:val="24"/>
              </w:rPr>
              <w:t xml:space="preserve">appears </w:t>
            </w:r>
            <w:r w:rsidR="4E2375D9" w:rsidRPr="466E6B7D">
              <w:rPr>
                <w:b/>
                <w:bCs/>
                <w:sz w:val="24"/>
                <w:szCs w:val="24"/>
              </w:rPr>
              <w:t>below the question allow</w:t>
            </w:r>
            <w:r w:rsidR="6AF24F85" w:rsidRPr="466E6B7D">
              <w:rPr>
                <w:b/>
                <w:bCs/>
                <w:sz w:val="24"/>
                <w:szCs w:val="24"/>
              </w:rPr>
              <w:t>ing</w:t>
            </w:r>
            <w:r w:rsidR="4E2375D9" w:rsidRPr="466E6B7D">
              <w:rPr>
                <w:b/>
                <w:bCs/>
                <w:sz w:val="24"/>
                <w:szCs w:val="24"/>
              </w:rPr>
              <w:t xml:space="preserve"> </w:t>
            </w:r>
            <w:r w:rsidR="60C95E03" w:rsidRPr="466E6B7D">
              <w:rPr>
                <w:b/>
                <w:bCs/>
                <w:sz w:val="24"/>
                <w:szCs w:val="24"/>
              </w:rPr>
              <w:t xml:space="preserve">the submitter to </w:t>
            </w:r>
            <w:r w:rsidR="4E2375D9" w:rsidRPr="466E6B7D">
              <w:rPr>
                <w:b/>
                <w:bCs/>
                <w:sz w:val="24"/>
                <w:szCs w:val="24"/>
              </w:rPr>
              <w:t xml:space="preserve">easily enter all </w:t>
            </w:r>
            <w:r w:rsidR="290F3DFF" w:rsidRPr="466E6B7D">
              <w:rPr>
                <w:b/>
                <w:bCs/>
                <w:sz w:val="24"/>
                <w:szCs w:val="24"/>
              </w:rPr>
              <w:t>T</w:t>
            </w:r>
            <w:r w:rsidR="4E2375D9" w:rsidRPr="466E6B7D">
              <w:rPr>
                <w:b/>
                <w:bCs/>
                <w:sz w:val="24"/>
                <w:szCs w:val="24"/>
              </w:rPr>
              <w:t xml:space="preserve">hird </w:t>
            </w:r>
            <w:r w:rsidR="290F3DFF" w:rsidRPr="466E6B7D">
              <w:rPr>
                <w:b/>
                <w:bCs/>
                <w:sz w:val="24"/>
                <w:szCs w:val="24"/>
              </w:rPr>
              <w:t>P</w:t>
            </w:r>
            <w:r w:rsidR="4E2375D9" w:rsidRPr="466E6B7D">
              <w:rPr>
                <w:b/>
                <w:bCs/>
                <w:sz w:val="24"/>
                <w:szCs w:val="24"/>
              </w:rPr>
              <w:t xml:space="preserve">arty </w:t>
            </w:r>
            <w:r w:rsidR="290F3DFF" w:rsidRPr="466E6B7D">
              <w:rPr>
                <w:b/>
                <w:bCs/>
                <w:sz w:val="24"/>
                <w:szCs w:val="24"/>
              </w:rPr>
              <w:t>R</w:t>
            </w:r>
            <w:r w:rsidR="4E2375D9" w:rsidRPr="466E6B7D">
              <w:rPr>
                <w:b/>
                <w:bCs/>
                <w:sz w:val="24"/>
                <w:szCs w:val="24"/>
              </w:rPr>
              <w:t>epresentative information</w:t>
            </w:r>
            <w:r w:rsidR="4E2375D9" w:rsidRPr="466E6B7D">
              <w:rPr>
                <w:sz w:val="24"/>
                <w:szCs w:val="24"/>
              </w:rPr>
              <w:t>.</w:t>
            </w:r>
          </w:p>
        </w:tc>
      </w:tr>
      <w:tr w:rsidR="002C426D" w:rsidRPr="00210B5D" w14:paraId="55861EB2" w14:textId="77777777" w:rsidTr="00D13563">
        <w:tc>
          <w:tcPr>
            <w:tcW w:w="0" w:type="auto"/>
            <w:vMerge/>
            <w:vAlign w:val="center"/>
            <w:hideMark/>
          </w:tcPr>
          <w:p w14:paraId="36EA8A0D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E0A0" w14:textId="7EE019E0" w:rsidR="002C426D" w:rsidRPr="00210B5D" w:rsidRDefault="00845E56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FMV Modification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340A" w14:textId="5AFEDA51" w:rsidR="002C426D" w:rsidRPr="00210B5D" w:rsidRDefault="00845E56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3C45" w14:textId="340B1C53" w:rsidR="002C426D" w:rsidRPr="00210B5D" w:rsidRDefault="00B46ECE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a </w:t>
            </w:r>
            <w:r w:rsidR="00961642">
              <w:rPr>
                <w:rFonts w:cstheme="minorHAnsi"/>
                <w:sz w:val="24"/>
                <w:szCs w:val="24"/>
              </w:rPr>
              <w:t>FMV Modification</w:t>
            </w:r>
            <w:r w:rsidR="001D53B3">
              <w:rPr>
                <w:rFonts w:cstheme="minorHAnsi"/>
                <w:sz w:val="24"/>
                <w:szCs w:val="24"/>
              </w:rPr>
              <w:t xml:space="preserve"> needs to be cancelled after </w:t>
            </w:r>
            <w:r w:rsidR="008C4F73">
              <w:rPr>
                <w:rFonts w:cstheme="minorHAnsi"/>
                <w:sz w:val="24"/>
                <w:szCs w:val="24"/>
              </w:rPr>
              <w:t>submitting,</w:t>
            </w:r>
            <w:r w:rsidR="001D53B3">
              <w:rPr>
                <w:rFonts w:cstheme="minorHAnsi"/>
                <w:sz w:val="24"/>
                <w:szCs w:val="24"/>
              </w:rPr>
              <w:t xml:space="preserve"> </w:t>
            </w:r>
            <w:r w:rsidR="008C4F73">
              <w:rPr>
                <w:rFonts w:cstheme="minorHAnsi"/>
                <w:b/>
                <w:bCs/>
                <w:sz w:val="24"/>
                <w:szCs w:val="24"/>
              </w:rPr>
              <w:t>users</w:t>
            </w:r>
            <w:r w:rsidR="00961642" w:rsidRPr="00B42044">
              <w:rPr>
                <w:rFonts w:cstheme="minorHAnsi"/>
                <w:b/>
                <w:bCs/>
                <w:sz w:val="24"/>
                <w:szCs w:val="24"/>
              </w:rPr>
              <w:t xml:space="preserve"> can </w:t>
            </w:r>
            <w:r w:rsidR="00A674B4">
              <w:rPr>
                <w:rFonts w:cstheme="minorHAnsi"/>
                <w:b/>
                <w:bCs/>
                <w:sz w:val="24"/>
                <w:szCs w:val="24"/>
              </w:rPr>
              <w:t xml:space="preserve">now </w:t>
            </w:r>
            <w:r w:rsidR="00961642" w:rsidRPr="00B42044">
              <w:rPr>
                <w:rFonts w:cstheme="minorHAnsi"/>
                <w:b/>
                <w:bCs/>
                <w:sz w:val="24"/>
                <w:szCs w:val="24"/>
              </w:rPr>
              <w:t>select “Cancel FMV Modification” but</w:t>
            </w:r>
            <w:r w:rsidR="00B42044" w:rsidRPr="00B42044">
              <w:rPr>
                <w:rFonts w:cstheme="minorHAnsi"/>
                <w:b/>
                <w:bCs/>
                <w:sz w:val="24"/>
                <w:szCs w:val="24"/>
              </w:rPr>
              <w:t>ton</w:t>
            </w:r>
            <w:r w:rsidR="00B42044">
              <w:rPr>
                <w:rFonts w:cstheme="minorHAnsi"/>
                <w:sz w:val="24"/>
                <w:szCs w:val="24"/>
              </w:rPr>
              <w:t xml:space="preserve">.  This </w:t>
            </w:r>
            <w:r w:rsidR="00A674B4">
              <w:rPr>
                <w:rFonts w:cstheme="minorHAnsi"/>
                <w:sz w:val="24"/>
                <w:szCs w:val="24"/>
              </w:rPr>
              <w:t xml:space="preserve">removes </w:t>
            </w:r>
            <w:r w:rsidR="00B42044" w:rsidRPr="00D47111">
              <w:rPr>
                <w:rFonts w:cstheme="minorHAnsi"/>
                <w:b/>
                <w:bCs/>
                <w:sz w:val="24"/>
                <w:szCs w:val="24"/>
              </w:rPr>
              <w:t>Pending FMV</w:t>
            </w:r>
            <w:r w:rsidR="00B42044">
              <w:rPr>
                <w:rFonts w:cstheme="minorHAnsi"/>
                <w:sz w:val="24"/>
                <w:szCs w:val="24"/>
              </w:rPr>
              <w:t xml:space="preserve"> status for the Service Provider and </w:t>
            </w:r>
            <w:r w:rsidR="008C4F73">
              <w:rPr>
                <w:rFonts w:cstheme="minorHAnsi"/>
                <w:sz w:val="24"/>
                <w:szCs w:val="24"/>
              </w:rPr>
              <w:t>reverts</w:t>
            </w:r>
            <w:r w:rsidR="00B42044">
              <w:rPr>
                <w:rFonts w:cstheme="minorHAnsi"/>
                <w:sz w:val="24"/>
                <w:szCs w:val="24"/>
              </w:rPr>
              <w:t xml:space="preserve"> back to a Nominated status.  </w:t>
            </w:r>
          </w:p>
        </w:tc>
      </w:tr>
      <w:tr w:rsidR="00754C9A" w:rsidRPr="00210B5D" w14:paraId="028F49DF" w14:textId="77777777" w:rsidTr="00D13563">
        <w:trPr>
          <w:trHeight w:val="2005"/>
        </w:trPr>
        <w:tc>
          <w:tcPr>
            <w:tcW w:w="1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74F9" w14:textId="645A3A34" w:rsidR="00754C9A" w:rsidRPr="00210B5D" w:rsidRDefault="00754C9A" w:rsidP="000F5D4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Functionality</w:t>
            </w: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2D55" w14:textId="3CB4F512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Resource Center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C42F" w14:textId="05D552A1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A3A5" w14:textId="77777777" w:rsidR="00754C9A" w:rsidRDefault="00754C9A" w:rsidP="002C5B2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Access the EngageMate Resource Center directly from EngageMate by clicking on the icon by your login.  </w:t>
            </w:r>
          </w:p>
          <w:p w14:paraId="048522A8" w14:textId="664886EA" w:rsidR="00754C9A" w:rsidRDefault="00754C9A" w:rsidP="002C5B2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76CB3E6" wp14:editId="3AA3D3E8">
                  <wp:extent cx="1076325" cy="609600"/>
                  <wp:effectExtent l="19050" t="19050" r="28575" b="19050"/>
                  <wp:docPr id="1314021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021425" name="Picture 13140214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C9A" w:rsidRPr="00210B5D" w14:paraId="519935B4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523E" w14:textId="77777777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09C9" w14:textId="7233B00D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Customer Master 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481F" w14:textId="318AD0FB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Bulk Upload 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C0DF" w14:textId="3F4BF1AC" w:rsidR="00754C9A" w:rsidRDefault="56DE2106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EngageMate has introduced a new role to allow trained users to have limited time access to bulk upload </w:t>
            </w:r>
            <w:r w:rsidR="39538623" w:rsidRPr="466E6B7D">
              <w:rPr>
                <w:sz w:val="24"/>
                <w:szCs w:val="24"/>
              </w:rPr>
              <w:t>S</w:t>
            </w:r>
            <w:r w:rsidRPr="466E6B7D">
              <w:rPr>
                <w:sz w:val="24"/>
                <w:szCs w:val="24"/>
              </w:rPr>
              <w:t xml:space="preserve">ervice </w:t>
            </w:r>
            <w:r w:rsidR="0D79F434" w:rsidRPr="466E6B7D">
              <w:rPr>
                <w:sz w:val="24"/>
                <w:szCs w:val="24"/>
              </w:rPr>
              <w:t>P</w:t>
            </w:r>
            <w:r w:rsidRPr="466E6B7D">
              <w:rPr>
                <w:sz w:val="24"/>
                <w:szCs w:val="24"/>
              </w:rPr>
              <w:t xml:space="preserve">roviders to the </w:t>
            </w:r>
            <w:r w:rsidR="6FE2B850" w:rsidRPr="466E6B7D">
              <w:rPr>
                <w:sz w:val="24"/>
                <w:szCs w:val="24"/>
              </w:rPr>
              <w:t>C</w:t>
            </w:r>
            <w:r w:rsidRPr="466E6B7D">
              <w:rPr>
                <w:sz w:val="24"/>
                <w:szCs w:val="24"/>
              </w:rPr>
              <w:t xml:space="preserve">ustomer </w:t>
            </w:r>
            <w:r w:rsidR="5159607F" w:rsidRPr="466E6B7D">
              <w:rPr>
                <w:sz w:val="24"/>
                <w:szCs w:val="24"/>
              </w:rPr>
              <w:t>M</w:t>
            </w:r>
            <w:r w:rsidRPr="466E6B7D">
              <w:rPr>
                <w:sz w:val="24"/>
                <w:szCs w:val="24"/>
              </w:rPr>
              <w:t xml:space="preserve">aster.  </w:t>
            </w:r>
          </w:p>
        </w:tc>
      </w:tr>
      <w:tr w:rsidR="00754C9A" w:rsidRPr="00210B5D" w14:paraId="3B57197D" w14:textId="77777777" w:rsidTr="00D13563">
        <w:tc>
          <w:tcPr>
            <w:tcW w:w="15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603B" w14:textId="77777777" w:rsidR="00754C9A" w:rsidRPr="00210B5D" w:rsidRDefault="00754C9A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99F8" w14:textId="32117FE5" w:rsidR="00754C9A" w:rsidRPr="00210B5D" w:rsidRDefault="00916F7C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New Activity Type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6D1A" w14:textId="13F63626" w:rsidR="00754C9A" w:rsidRPr="00210B5D" w:rsidRDefault="00916F7C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4627" w14:textId="052C3B71" w:rsidR="00754C9A" w:rsidRDefault="00E833B2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EngageMate now has a new </w:t>
            </w:r>
            <w:r w:rsidR="4DBA932F" w:rsidRPr="466E6B7D">
              <w:rPr>
                <w:sz w:val="24"/>
                <w:szCs w:val="24"/>
              </w:rPr>
              <w:t>A</w:t>
            </w:r>
            <w:r w:rsidRPr="466E6B7D">
              <w:rPr>
                <w:sz w:val="24"/>
                <w:szCs w:val="24"/>
              </w:rPr>
              <w:t xml:space="preserve">ctivity </w:t>
            </w:r>
            <w:r w:rsidR="37210BFE" w:rsidRPr="466E6B7D">
              <w:rPr>
                <w:sz w:val="24"/>
                <w:szCs w:val="24"/>
              </w:rPr>
              <w:t>T</w:t>
            </w:r>
            <w:r w:rsidRPr="466E6B7D">
              <w:rPr>
                <w:sz w:val="24"/>
                <w:szCs w:val="24"/>
              </w:rPr>
              <w:t xml:space="preserve">ype “Social Media Influencer – Fee for Service”.  </w:t>
            </w:r>
            <w:r w:rsidR="63E6BB7F" w:rsidRPr="466E6B7D">
              <w:rPr>
                <w:sz w:val="24"/>
                <w:szCs w:val="24"/>
              </w:rPr>
              <w:t>You must c</w:t>
            </w:r>
            <w:r w:rsidR="653AD3B0" w:rsidRPr="466E6B7D">
              <w:rPr>
                <w:sz w:val="24"/>
                <w:szCs w:val="24"/>
              </w:rPr>
              <w:t xml:space="preserve">onsult with your </w:t>
            </w:r>
            <w:r w:rsidR="491D9A4F" w:rsidRPr="466E6B7D">
              <w:rPr>
                <w:sz w:val="24"/>
                <w:szCs w:val="24"/>
              </w:rPr>
              <w:t>L</w:t>
            </w:r>
            <w:r w:rsidR="653AD3B0" w:rsidRPr="466E6B7D">
              <w:rPr>
                <w:sz w:val="24"/>
                <w:szCs w:val="24"/>
              </w:rPr>
              <w:t xml:space="preserve">ocal </w:t>
            </w:r>
            <w:r w:rsidR="0621F772" w:rsidRPr="466E6B7D">
              <w:rPr>
                <w:sz w:val="24"/>
                <w:szCs w:val="24"/>
              </w:rPr>
              <w:t>C</w:t>
            </w:r>
            <w:r w:rsidR="653AD3B0" w:rsidRPr="466E6B7D">
              <w:rPr>
                <w:sz w:val="24"/>
                <w:szCs w:val="24"/>
              </w:rPr>
              <w:t xml:space="preserve">ompliance </w:t>
            </w:r>
            <w:r w:rsidR="2C4BB168" w:rsidRPr="466E6B7D">
              <w:rPr>
                <w:sz w:val="24"/>
                <w:szCs w:val="24"/>
              </w:rPr>
              <w:t>O</w:t>
            </w:r>
            <w:r w:rsidR="653AD3B0" w:rsidRPr="466E6B7D">
              <w:rPr>
                <w:sz w:val="24"/>
                <w:szCs w:val="24"/>
              </w:rPr>
              <w:t xml:space="preserve">fficer prior to using this new </w:t>
            </w:r>
            <w:r w:rsidR="64A033FC" w:rsidRPr="466E6B7D">
              <w:rPr>
                <w:sz w:val="24"/>
                <w:szCs w:val="24"/>
              </w:rPr>
              <w:t>A</w:t>
            </w:r>
            <w:r w:rsidR="653AD3B0" w:rsidRPr="466E6B7D">
              <w:rPr>
                <w:sz w:val="24"/>
                <w:szCs w:val="24"/>
              </w:rPr>
              <w:t>ctivity</w:t>
            </w:r>
            <w:r w:rsidR="38F364B6" w:rsidRPr="466E6B7D">
              <w:rPr>
                <w:sz w:val="24"/>
                <w:szCs w:val="24"/>
              </w:rPr>
              <w:t xml:space="preserve"> </w:t>
            </w:r>
            <w:r w:rsidR="359892FD" w:rsidRPr="466E6B7D">
              <w:rPr>
                <w:sz w:val="24"/>
                <w:szCs w:val="24"/>
              </w:rPr>
              <w:t>T</w:t>
            </w:r>
            <w:r w:rsidR="38F364B6" w:rsidRPr="466E6B7D">
              <w:rPr>
                <w:sz w:val="24"/>
                <w:szCs w:val="24"/>
              </w:rPr>
              <w:t>ype</w:t>
            </w:r>
            <w:r w:rsidR="653AD3B0" w:rsidRPr="466E6B7D">
              <w:rPr>
                <w:sz w:val="24"/>
                <w:szCs w:val="24"/>
              </w:rPr>
              <w:t>.</w:t>
            </w:r>
          </w:p>
        </w:tc>
      </w:tr>
      <w:tr w:rsidR="002C426D" w:rsidRPr="00210B5D" w14:paraId="2D58FE95" w14:textId="77777777" w:rsidTr="00D13563">
        <w:tc>
          <w:tcPr>
            <w:tcW w:w="15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77F9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Notification</w:t>
            </w: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6286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8B10" w14:textId="77777777" w:rsidR="002C426D" w:rsidRPr="00210B5D" w:rsidRDefault="002C426D" w:rsidP="002C426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Submitters &amp;</w:t>
            </w:r>
            <w:r w:rsidRPr="00210B5D">
              <w:rPr>
                <w:rFonts w:cstheme="minorHAnsi"/>
                <w:sz w:val="24"/>
                <w:szCs w:val="24"/>
              </w:rPr>
              <w:br/>
              <w:t>Reviewers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E398" w14:textId="1887AAB7" w:rsidR="00156D90" w:rsidRPr="00210B5D" w:rsidRDefault="763E88A5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Email notifications </w:t>
            </w:r>
            <w:r w:rsidR="09249E6B" w:rsidRPr="466E6B7D">
              <w:rPr>
                <w:sz w:val="24"/>
                <w:szCs w:val="24"/>
              </w:rPr>
              <w:t xml:space="preserve">now reflect all </w:t>
            </w:r>
            <w:r w:rsidR="5A417A03" w:rsidRPr="466E6B7D">
              <w:rPr>
                <w:sz w:val="24"/>
                <w:szCs w:val="24"/>
              </w:rPr>
              <w:t>R</w:t>
            </w:r>
            <w:r w:rsidRPr="466E6B7D">
              <w:rPr>
                <w:b/>
                <w:bCs/>
                <w:sz w:val="24"/>
                <w:szCs w:val="24"/>
              </w:rPr>
              <w:t>eviewer comments</w:t>
            </w:r>
            <w:r w:rsidR="071698F2" w:rsidRPr="466E6B7D">
              <w:rPr>
                <w:sz w:val="24"/>
                <w:szCs w:val="24"/>
              </w:rPr>
              <w:t>.</w:t>
            </w:r>
            <w:r w:rsidR="6A293A3D" w:rsidRPr="466E6B7D">
              <w:rPr>
                <w:sz w:val="24"/>
                <w:szCs w:val="24"/>
              </w:rPr>
              <w:t xml:space="preserve"> An update</w:t>
            </w:r>
            <w:r w:rsidR="790BA602" w:rsidRPr="466E6B7D">
              <w:rPr>
                <w:sz w:val="24"/>
                <w:szCs w:val="24"/>
              </w:rPr>
              <w:t xml:space="preserve">d layout displaying </w:t>
            </w:r>
            <w:r w:rsidR="790BA602" w:rsidRPr="466E6B7D">
              <w:rPr>
                <w:sz w:val="24"/>
                <w:szCs w:val="24"/>
              </w:rPr>
              <w:lastRenderedPageBreak/>
              <w:t xml:space="preserve">historical </w:t>
            </w:r>
            <w:r w:rsidR="35F24750" w:rsidRPr="466E6B7D">
              <w:rPr>
                <w:sz w:val="24"/>
                <w:szCs w:val="24"/>
              </w:rPr>
              <w:t>R</w:t>
            </w:r>
            <w:r w:rsidR="7965388D" w:rsidRPr="466E6B7D">
              <w:rPr>
                <w:sz w:val="24"/>
                <w:szCs w:val="24"/>
              </w:rPr>
              <w:t>eviewer</w:t>
            </w:r>
            <w:r w:rsidR="790BA602" w:rsidRPr="466E6B7D">
              <w:rPr>
                <w:sz w:val="24"/>
                <w:szCs w:val="24"/>
              </w:rPr>
              <w:t xml:space="preserve"> </w:t>
            </w:r>
            <w:r w:rsidR="4A4541BE" w:rsidRPr="466E6B7D">
              <w:rPr>
                <w:sz w:val="24"/>
                <w:szCs w:val="24"/>
              </w:rPr>
              <w:t>comment</w:t>
            </w:r>
            <w:r w:rsidR="64F4C0A1" w:rsidRPr="466E6B7D">
              <w:rPr>
                <w:sz w:val="24"/>
                <w:szCs w:val="24"/>
              </w:rPr>
              <w:t>s</w:t>
            </w:r>
            <w:r w:rsidR="7965388D" w:rsidRPr="466E6B7D">
              <w:rPr>
                <w:sz w:val="24"/>
                <w:szCs w:val="24"/>
              </w:rPr>
              <w:t xml:space="preserve"> </w:t>
            </w:r>
            <w:r w:rsidR="77D53CF7" w:rsidRPr="466E6B7D">
              <w:rPr>
                <w:sz w:val="24"/>
                <w:szCs w:val="24"/>
              </w:rPr>
              <w:t xml:space="preserve">is now included </w:t>
            </w:r>
            <w:r w:rsidR="2E689232" w:rsidRPr="466E6B7D">
              <w:rPr>
                <w:sz w:val="24"/>
                <w:szCs w:val="24"/>
              </w:rPr>
              <w:t xml:space="preserve">in the </w:t>
            </w:r>
            <w:r w:rsidR="755EB163" w:rsidRPr="466E6B7D">
              <w:rPr>
                <w:sz w:val="24"/>
                <w:szCs w:val="24"/>
              </w:rPr>
              <w:t xml:space="preserve">body of the </w:t>
            </w:r>
            <w:r w:rsidR="2E689232" w:rsidRPr="466E6B7D">
              <w:rPr>
                <w:sz w:val="24"/>
                <w:szCs w:val="24"/>
              </w:rPr>
              <w:t>email</w:t>
            </w:r>
            <w:r w:rsidR="755EB163" w:rsidRPr="466E6B7D">
              <w:rPr>
                <w:sz w:val="24"/>
                <w:szCs w:val="24"/>
              </w:rPr>
              <w:t>ed</w:t>
            </w:r>
            <w:r w:rsidR="2E689232" w:rsidRPr="466E6B7D">
              <w:rPr>
                <w:sz w:val="24"/>
                <w:szCs w:val="24"/>
              </w:rPr>
              <w:t xml:space="preserve"> notification.</w:t>
            </w:r>
          </w:p>
        </w:tc>
      </w:tr>
      <w:tr w:rsidR="00181F5D" w:rsidRPr="00210B5D" w14:paraId="47E3712A" w14:textId="77777777" w:rsidTr="00D13563">
        <w:tc>
          <w:tcPr>
            <w:tcW w:w="0" w:type="auto"/>
            <w:vMerge/>
            <w:vAlign w:val="center"/>
            <w:hideMark/>
          </w:tcPr>
          <w:p w14:paraId="4A2B7517" w14:textId="77777777" w:rsidR="00181F5D" w:rsidRPr="00210B5D" w:rsidRDefault="00181F5D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E0D4" w14:textId="022BCF39" w:rsidR="00181F5D" w:rsidRPr="00210B5D" w:rsidRDefault="00181F5D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10B5D"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E6F3" w14:textId="6DEF0BE4" w:rsidR="00181F5D" w:rsidRPr="00210B5D" w:rsidRDefault="00181F5D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Reviewers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F27D" w14:textId="7532295F" w:rsidR="00181F5D" w:rsidRPr="00210B5D" w:rsidRDefault="00BC5037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992E9F">
              <w:rPr>
                <w:rFonts w:cstheme="minorHAnsi"/>
                <w:sz w:val="24"/>
                <w:szCs w:val="24"/>
              </w:rPr>
              <w:t xml:space="preserve">FMV Modification </w:t>
            </w:r>
            <w:r w:rsidR="002E60AE">
              <w:rPr>
                <w:rFonts w:cstheme="minorHAnsi"/>
                <w:sz w:val="24"/>
                <w:szCs w:val="24"/>
              </w:rPr>
              <w:t xml:space="preserve">email </w:t>
            </w:r>
            <w:r>
              <w:rPr>
                <w:rFonts w:cstheme="minorHAnsi"/>
                <w:sz w:val="24"/>
                <w:szCs w:val="24"/>
              </w:rPr>
              <w:t xml:space="preserve">notification </w:t>
            </w:r>
            <w:r w:rsidR="002E60AE">
              <w:rPr>
                <w:rFonts w:cstheme="minorHAnsi"/>
                <w:sz w:val="24"/>
                <w:szCs w:val="24"/>
              </w:rPr>
              <w:t>was</w:t>
            </w:r>
            <w:r>
              <w:rPr>
                <w:rFonts w:cstheme="minorHAnsi"/>
                <w:sz w:val="24"/>
                <w:szCs w:val="24"/>
              </w:rPr>
              <w:t xml:space="preserve"> updated to provide </w:t>
            </w:r>
            <w:r w:rsidRPr="00BC5037">
              <w:rPr>
                <w:rFonts w:cstheme="minorHAnsi"/>
                <w:b/>
                <w:bCs/>
                <w:sz w:val="24"/>
                <w:szCs w:val="24"/>
              </w:rPr>
              <w:t xml:space="preserve">better clarity on how to access </w:t>
            </w:r>
            <w:r w:rsidR="00366E2B">
              <w:rPr>
                <w:rFonts w:cstheme="minorHAnsi"/>
                <w:b/>
                <w:bCs/>
                <w:sz w:val="24"/>
                <w:szCs w:val="24"/>
              </w:rPr>
              <w:t xml:space="preserve">(find) </w:t>
            </w:r>
            <w:r w:rsidRPr="00BC5037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r w:rsidR="002E60AE">
              <w:rPr>
                <w:rFonts w:cstheme="minorHAnsi"/>
                <w:b/>
                <w:bCs/>
                <w:sz w:val="24"/>
                <w:szCs w:val="24"/>
              </w:rPr>
              <w:t xml:space="preserve"> requested</w:t>
            </w:r>
            <w:r w:rsidRPr="00BC5037">
              <w:rPr>
                <w:rFonts w:cstheme="minorHAnsi"/>
                <w:b/>
                <w:bCs/>
                <w:sz w:val="24"/>
                <w:szCs w:val="24"/>
              </w:rPr>
              <w:t xml:space="preserve"> FMV Modification</w:t>
            </w:r>
            <w:r>
              <w:rPr>
                <w:rFonts w:cstheme="minorHAnsi"/>
                <w:sz w:val="24"/>
                <w:szCs w:val="24"/>
              </w:rPr>
              <w:t xml:space="preserve">.  </w:t>
            </w:r>
            <w:r w:rsidR="00992E9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1F5D" w:rsidRPr="00210B5D" w14:paraId="7D1BEAAD" w14:textId="77777777" w:rsidTr="00D13563">
        <w:tc>
          <w:tcPr>
            <w:tcW w:w="0" w:type="auto"/>
            <w:vMerge/>
            <w:vAlign w:val="center"/>
            <w:hideMark/>
          </w:tcPr>
          <w:p w14:paraId="7B79243B" w14:textId="77777777" w:rsidR="00181F5D" w:rsidRPr="00210B5D" w:rsidRDefault="00181F5D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F2AD" w14:textId="7FD5FD57" w:rsidR="00181F5D" w:rsidRPr="00210B5D" w:rsidRDefault="009F0B80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D1CD" w14:textId="389D3F44" w:rsidR="00181F5D" w:rsidRPr="00210B5D" w:rsidRDefault="009F0B80" w:rsidP="00181F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A887" w14:textId="6080A421" w:rsidR="00181F5D" w:rsidRPr="00210B5D" w:rsidRDefault="14202A47" w:rsidP="466E6B7D">
            <w:pPr>
              <w:spacing w:after="0" w:line="240" w:lineRule="auto"/>
              <w:rPr>
                <w:sz w:val="24"/>
                <w:szCs w:val="24"/>
              </w:rPr>
            </w:pPr>
            <w:r w:rsidRPr="466E6B7D">
              <w:rPr>
                <w:sz w:val="24"/>
                <w:szCs w:val="24"/>
              </w:rPr>
              <w:t xml:space="preserve">A </w:t>
            </w:r>
            <w:r w:rsidRPr="466E6B7D">
              <w:rPr>
                <w:b/>
                <w:bCs/>
                <w:sz w:val="24"/>
                <w:szCs w:val="24"/>
              </w:rPr>
              <w:t xml:space="preserve">new email notification will be sent </w:t>
            </w:r>
            <w:r w:rsidR="6B568774" w:rsidRPr="466E6B7D">
              <w:rPr>
                <w:b/>
                <w:bCs/>
                <w:sz w:val="24"/>
                <w:szCs w:val="24"/>
              </w:rPr>
              <w:t xml:space="preserve">to </w:t>
            </w:r>
            <w:r w:rsidR="16C9C0D0" w:rsidRPr="466E6B7D">
              <w:rPr>
                <w:b/>
                <w:bCs/>
                <w:sz w:val="24"/>
                <w:szCs w:val="24"/>
              </w:rPr>
              <w:t>S</w:t>
            </w:r>
            <w:r w:rsidR="6B568774" w:rsidRPr="466E6B7D">
              <w:rPr>
                <w:b/>
                <w:bCs/>
                <w:sz w:val="24"/>
                <w:szCs w:val="24"/>
              </w:rPr>
              <w:t xml:space="preserve">ubmitters </w:t>
            </w:r>
            <w:r w:rsidRPr="466E6B7D">
              <w:rPr>
                <w:b/>
                <w:bCs/>
                <w:sz w:val="24"/>
                <w:szCs w:val="24"/>
              </w:rPr>
              <w:t xml:space="preserve">when a </w:t>
            </w:r>
            <w:r w:rsidR="5FD902C4" w:rsidRPr="466E6B7D">
              <w:rPr>
                <w:b/>
                <w:bCs/>
                <w:sz w:val="24"/>
                <w:szCs w:val="24"/>
              </w:rPr>
              <w:t>R</w:t>
            </w:r>
            <w:r w:rsidRPr="466E6B7D">
              <w:rPr>
                <w:b/>
                <w:bCs/>
                <w:sz w:val="24"/>
                <w:szCs w:val="24"/>
              </w:rPr>
              <w:t xml:space="preserve">eviewer </w:t>
            </w:r>
            <w:r w:rsidR="4B41580F" w:rsidRPr="466E6B7D">
              <w:rPr>
                <w:b/>
                <w:bCs/>
                <w:sz w:val="24"/>
                <w:szCs w:val="24"/>
              </w:rPr>
              <w:t>is</w:t>
            </w:r>
            <w:r w:rsidR="6B568774" w:rsidRPr="466E6B7D">
              <w:rPr>
                <w:b/>
                <w:bCs/>
                <w:sz w:val="24"/>
                <w:szCs w:val="24"/>
              </w:rPr>
              <w:t xml:space="preserve"> </w:t>
            </w:r>
            <w:r w:rsidR="4B41580F" w:rsidRPr="466E6B7D">
              <w:rPr>
                <w:b/>
                <w:bCs/>
                <w:sz w:val="24"/>
                <w:szCs w:val="24"/>
              </w:rPr>
              <w:t>R</w:t>
            </w:r>
            <w:r w:rsidRPr="466E6B7D">
              <w:rPr>
                <w:b/>
                <w:bCs/>
                <w:sz w:val="24"/>
                <w:szCs w:val="24"/>
              </w:rPr>
              <w:t xml:space="preserve">equesting </w:t>
            </w:r>
            <w:r w:rsidR="4B41580F" w:rsidRPr="466E6B7D">
              <w:rPr>
                <w:b/>
                <w:bCs/>
                <w:sz w:val="24"/>
                <w:szCs w:val="24"/>
              </w:rPr>
              <w:t>M</w:t>
            </w:r>
            <w:r w:rsidRPr="466E6B7D">
              <w:rPr>
                <w:b/>
                <w:bCs/>
                <w:sz w:val="24"/>
                <w:szCs w:val="24"/>
              </w:rPr>
              <w:t xml:space="preserve">ore </w:t>
            </w:r>
            <w:r w:rsidR="4B41580F" w:rsidRPr="466E6B7D">
              <w:rPr>
                <w:b/>
                <w:bCs/>
                <w:sz w:val="24"/>
                <w:szCs w:val="24"/>
              </w:rPr>
              <w:t>I</w:t>
            </w:r>
            <w:r w:rsidRPr="466E6B7D">
              <w:rPr>
                <w:b/>
                <w:bCs/>
                <w:sz w:val="24"/>
                <w:szCs w:val="24"/>
              </w:rPr>
              <w:t>nformation</w:t>
            </w:r>
            <w:r w:rsidRPr="466E6B7D">
              <w:rPr>
                <w:sz w:val="24"/>
                <w:szCs w:val="24"/>
              </w:rPr>
              <w:t xml:space="preserve">.  This </w:t>
            </w:r>
            <w:r w:rsidR="4B41580F" w:rsidRPr="466E6B7D">
              <w:rPr>
                <w:sz w:val="24"/>
                <w:szCs w:val="24"/>
              </w:rPr>
              <w:t xml:space="preserve">email </w:t>
            </w:r>
            <w:r w:rsidR="6382E866" w:rsidRPr="466E6B7D">
              <w:rPr>
                <w:sz w:val="24"/>
                <w:szCs w:val="24"/>
              </w:rPr>
              <w:t xml:space="preserve">provides </w:t>
            </w:r>
            <w:r w:rsidR="19407FB7" w:rsidRPr="466E6B7D">
              <w:rPr>
                <w:sz w:val="24"/>
                <w:szCs w:val="24"/>
              </w:rPr>
              <w:t>S</w:t>
            </w:r>
            <w:r w:rsidR="6382E866" w:rsidRPr="466E6B7D">
              <w:rPr>
                <w:sz w:val="24"/>
                <w:szCs w:val="24"/>
              </w:rPr>
              <w:t xml:space="preserve">ubmitters the information needed </w:t>
            </w:r>
            <w:r w:rsidR="2D47AD08" w:rsidRPr="466E6B7D">
              <w:rPr>
                <w:sz w:val="24"/>
                <w:szCs w:val="24"/>
              </w:rPr>
              <w:t>to</w:t>
            </w:r>
            <w:r w:rsidR="4E2EB237" w:rsidRPr="466E6B7D">
              <w:rPr>
                <w:sz w:val="24"/>
                <w:szCs w:val="24"/>
              </w:rPr>
              <w:t xml:space="preserve"> review the </w:t>
            </w:r>
            <w:r w:rsidR="4F987ECD" w:rsidRPr="466E6B7D">
              <w:rPr>
                <w:sz w:val="24"/>
                <w:szCs w:val="24"/>
              </w:rPr>
              <w:t>R</w:t>
            </w:r>
            <w:r w:rsidR="7E757294" w:rsidRPr="466E6B7D">
              <w:rPr>
                <w:sz w:val="24"/>
                <w:szCs w:val="24"/>
              </w:rPr>
              <w:t>eviewers’</w:t>
            </w:r>
            <w:r w:rsidR="4E2EB237" w:rsidRPr="466E6B7D">
              <w:rPr>
                <w:sz w:val="24"/>
                <w:szCs w:val="24"/>
              </w:rPr>
              <w:t xml:space="preserve"> comments.</w:t>
            </w:r>
          </w:p>
        </w:tc>
      </w:tr>
    </w:tbl>
    <w:p w14:paraId="336D567D" w14:textId="77777777" w:rsidR="001A4E33" w:rsidRDefault="001A4E33" w:rsidP="001A4E33">
      <w:pPr>
        <w:spacing w:after="0" w:line="240" w:lineRule="auto"/>
        <w:rPr>
          <w:rFonts w:cstheme="minorHAnsi"/>
          <w:sz w:val="24"/>
          <w:szCs w:val="24"/>
        </w:rPr>
      </w:pPr>
    </w:p>
    <w:p w14:paraId="48D3FA58" w14:textId="42258059" w:rsidR="00940140" w:rsidRDefault="61C1607C" w:rsidP="466E6B7D">
      <w:pPr>
        <w:spacing w:after="0" w:line="240" w:lineRule="auto"/>
        <w:rPr>
          <w:sz w:val="24"/>
          <w:szCs w:val="24"/>
        </w:rPr>
      </w:pPr>
      <w:r w:rsidRPr="466E6B7D">
        <w:rPr>
          <w:sz w:val="24"/>
          <w:szCs w:val="24"/>
        </w:rPr>
        <w:t>We hope you</w:t>
      </w:r>
      <w:r w:rsidR="5C492996" w:rsidRPr="466E6B7D">
        <w:rPr>
          <w:sz w:val="24"/>
          <w:szCs w:val="24"/>
        </w:rPr>
        <w:t xml:space="preserve"> a</w:t>
      </w:r>
      <w:r w:rsidRPr="466E6B7D">
        <w:rPr>
          <w:sz w:val="24"/>
          <w:szCs w:val="24"/>
        </w:rPr>
        <w:t xml:space="preserve">re as excited about these enhancements as we are! As always, if you have any questions about how these updates might impact your </w:t>
      </w:r>
      <w:r w:rsidR="687EE6B5" w:rsidRPr="466E6B7D">
        <w:rPr>
          <w:sz w:val="24"/>
          <w:szCs w:val="24"/>
        </w:rPr>
        <w:t>L</w:t>
      </w:r>
      <w:r w:rsidRPr="466E6B7D">
        <w:rPr>
          <w:sz w:val="24"/>
          <w:szCs w:val="24"/>
        </w:rPr>
        <w:t xml:space="preserve">ocal policies/procedures, please reach out to your </w:t>
      </w:r>
      <w:r w:rsidR="15D9AE7B" w:rsidRPr="466E6B7D">
        <w:rPr>
          <w:sz w:val="24"/>
          <w:szCs w:val="24"/>
        </w:rPr>
        <w:t>L</w:t>
      </w:r>
      <w:r w:rsidRPr="466E6B7D">
        <w:rPr>
          <w:sz w:val="24"/>
          <w:szCs w:val="24"/>
        </w:rPr>
        <w:t xml:space="preserve">ocal </w:t>
      </w:r>
      <w:r w:rsidR="15D9AE7B" w:rsidRPr="466E6B7D">
        <w:rPr>
          <w:sz w:val="24"/>
          <w:szCs w:val="24"/>
        </w:rPr>
        <w:t>C</w:t>
      </w:r>
      <w:r w:rsidRPr="466E6B7D">
        <w:rPr>
          <w:sz w:val="24"/>
          <w:szCs w:val="24"/>
        </w:rPr>
        <w:t xml:space="preserve">ompliance </w:t>
      </w:r>
      <w:r w:rsidR="15D9AE7B" w:rsidRPr="466E6B7D">
        <w:rPr>
          <w:sz w:val="24"/>
          <w:szCs w:val="24"/>
        </w:rPr>
        <w:t>O</w:t>
      </w:r>
      <w:r w:rsidRPr="466E6B7D">
        <w:rPr>
          <w:sz w:val="24"/>
          <w:szCs w:val="24"/>
        </w:rPr>
        <w:t>fficer.</w:t>
      </w:r>
      <w:r w:rsidR="31A8CA07" w:rsidRPr="466E6B7D">
        <w:rPr>
          <w:sz w:val="24"/>
          <w:szCs w:val="24"/>
        </w:rPr>
        <w:t xml:space="preserve"> </w:t>
      </w:r>
    </w:p>
    <w:p w14:paraId="0BD2A6CD" w14:textId="77777777" w:rsidR="0070507A" w:rsidRPr="00940140" w:rsidRDefault="0070507A" w:rsidP="00940140">
      <w:pPr>
        <w:spacing w:after="0" w:line="240" w:lineRule="auto"/>
        <w:rPr>
          <w:rFonts w:cstheme="minorHAnsi"/>
          <w:sz w:val="24"/>
          <w:szCs w:val="24"/>
        </w:rPr>
      </w:pPr>
    </w:p>
    <w:p w14:paraId="677761C4" w14:textId="564582EF" w:rsidR="008B6FFF" w:rsidRDefault="00940140" w:rsidP="008B6FFF">
      <w:pPr>
        <w:spacing w:after="0" w:line="240" w:lineRule="auto"/>
        <w:rPr>
          <w:rFonts w:cstheme="minorHAnsi"/>
          <w:sz w:val="24"/>
          <w:szCs w:val="24"/>
        </w:rPr>
      </w:pPr>
      <w:r w:rsidRPr="00940140">
        <w:rPr>
          <w:rFonts w:cstheme="minorHAnsi"/>
          <w:sz w:val="24"/>
          <w:szCs w:val="24"/>
        </w:rPr>
        <w:t>Stay tuned for more updates</w:t>
      </w:r>
      <w:r w:rsidR="00361E95">
        <w:rPr>
          <w:rFonts w:cstheme="minorHAnsi"/>
          <w:sz w:val="24"/>
          <w:szCs w:val="24"/>
        </w:rPr>
        <w:t>!</w:t>
      </w:r>
    </w:p>
    <w:p w14:paraId="01A35D90" w14:textId="77777777" w:rsidR="006D304B" w:rsidRDefault="006D304B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69EE9536" w14:textId="77777777" w:rsidR="00DD7EB6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Visit:</w:t>
      </w:r>
      <w:r>
        <w:rPr>
          <w:rFonts w:cstheme="minorHAnsi"/>
          <w:sz w:val="24"/>
          <w:szCs w:val="24"/>
        </w:rPr>
        <w:t xml:space="preserve"> </w:t>
      </w:r>
      <w:hyperlink r:id="rId12" w:history="1">
        <w:r w:rsidR="001D2A32" w:rsidRPr="00DD7EB6">
          <w:rPr>
            <w:rStyle w:val="Hyperlink"/>
            <w:rFonts w:cstheme="minorHAnsi"/>
            <w:sz w:val="24"/>
            <w:szCs w:val="24"/>
          </w:rPr>
          <w:t>EngageMate</w:t>
        </w:r>
        <w:r>
          <w:rPr>
            <w:rStyle w:val="Hyperlink"/>
            <w:rFonts w:cstheme="minorHAnsi"/>
            <w:sz w:val="24"/>
            <w:szCs w:val="24"/>
          </w:rPr>
          <w:t>’s</w:t>
        </w:r>
        <w:r w:rsidR="001D2A32" w:rsidRPr="00DD7EB6">
          <w:rPr>
            <w:rStyle w:val="Hyperlink"/>
            <w:rFonts w:cstheme="minorHAnsi"/>
            <w:sz w:val="24"/>
            <w:szCs w:val="24"/>
          </w:rPr>
          <w:t xml:space="preserve"> Resource Center</w:t>
        </w:r>
      </w:hyperlink>
      <w:r w:rsidR="001D2A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1D2A32" w:rsidRPr="00DD7EB6">
        <w:rPr>
          <w:rFonts w:cstheme="minorHAnsi"/>
          <w:sz w:val="24"/>
          <w:szCs w:val="24"/>
        </w:rPr>
        <w:t>useful system con</w:t>
      </w:r>
      <w:r>
        <w:rPr>
          <w:rFonts w:cstheme="minorHAnsi"/>
          <w:sz w:val="24"/>
          <w:szCs w:val="24"/>
        </w:rPr>
        <w:t>tent such as training tutorials</w:t>
      </w:r>
      <w:r w:rsidR="001D2A32" w:rsidRPr="00DD7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1D2A32" w:rsidRPr="00DD7EB6">
        <w:rPr>
          <w:rFonts w:cstheme="minorHAnsi"/>
          <w:sz w:val="24"/>
          <w:szCs w:val="24"/>
        </w:rPr>
        <w:t>quick</w:t>
      </w:r>
      <w:r w:rsidRPr="00DD7EB6">
        <w:rPr>
          <w:rFonts w:cstheme="minorHAnsi"/>
          <w:sz w:val="24"/>
          <w:szCs w:val="24"/>
        </w:rPr>
        <w:t xml:space="preserve"> refe</w:t>
      </w:r>
      <w:r>
        <w:rPr>
          <w:rFonts w:cstheme="minorHAnsi"/>
          <w:sz w:val="24"/>
          <w:szCs w:val="24"/>
        </w:rPr>
        <w:t xml:space="preserve">rence cards.  </w:t>
      </w:r>
    </w:p>
    <w:p w14:paraId="00DF1FDF" w14:textId="77777777" w:rsidR="00DD7EB6" w:rsidRPr="008B6FFF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2F4674" w14:textId="7D9B3463" w:rsidR="00C07312" w:rsidRDefault="00DD7EB6" w:rsidP="00ED7C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Contact:</w:t>
      </w:r>
      <w:r>
        <w:rPr>
          <w:rFonts w:cstheme="minorHAnsi"/>
          <w:sz w:val="24"/>
          <w:szCs w:val="24"/>
        </w:rPr>
        <w:t xml:space="preserve">  </w:t>
      </w:r>
      <w:hyperlink r:id="rId13" w:history="1">
        <w:r w:rsidR="008B6FFF" w:rsidRPr="00031394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>
        <w:rPr>
          <w:rFonts w:cstheme="minorHAnsi"/>
          <w:sz w:val="24"/>
          <w:szCs w:val="24"/>
        </w:rPr>
        <w:t xml:space="preserve"> for</w:t>
      </w:r>
      <w:r w:rsidRPr="00DD7EB6">
        <w:rPr>
          <w:rFonts w:cstheme="minorHAnsi"/>
          <w:sz w:val="24"/>
          <w:szCs w:val="24"/>
        </w:rPr>
        <w:t xml:space="preserve"> </w:t>
      </w:r>
      <w:r w:rsidRPr="008B6FFF">
        <w:rPr>
          <w:rFonts w:cstheme="minorHAnsi"/>
          <w:sz w:val="24"/>
          <w:szCs w:val="24"/>
        </w:rPr>
        <w:t>system related questions</w:t>
      </w:r>
      <w:r>
        <w:rPr>
          <w:rFonts w:cstheme="minorHAnsi"/>
          <w:sz w:val="24"/>
          <w:szCs w:val="24"/>
        </w:rPr>
        <w:t>.</w:t>
      </w:r>
    </w:p>
    <w:p w14:paraId="7CAEADB9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544B8D63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7312" w14:paraId="356BE07F" w14:textId="77777777" w:rsidTr="00C07312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7312" w14:paraId="03FBE3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7312" w14:paraId="7CFEED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C07312" w14:paraId="419B2237" w14:textId="77777777" w:rsidTr="00C07312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17C007A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D23D27" wp14:editId="1780CD86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3D2B4FA4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7C7770" w14:textId="77777777" w:rsidR="00C07312" w:rsidRDefault="00C073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E0FAA1" w14:textId="77777777" w:rsidR="00C07312" w:rsidRDefault="00C073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11B94" w14:textId="77777777" w:rsidR="00C07312" w:rsidRDefault="00C073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038FD" w14:textId="77777777" w:rsidR="00C07312" w:rsidRPr="001A4E33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sectPr w:rsidR="00C07312" w:rsidRPr="001A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F48"/>
    <w:multiLevelType w:val="hybridMultilevel"/>
    <w:tmpl w:val="015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57C47"/>
    <w:multiLevelType w:val="multilevel"/>
    <w:tmpl w:val="1A0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00A45"/>
    <w:multiLevelType w:val="multilevel"/>
    <w:tmpl w:val="517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555972">
    <w:abstractNumId w:val="1"/>
  </w:num>
  <w:num w:numId="2" w16cid:durableId="2112622346">
    <w:abstractNumId w:val="0"/>
  </w:num>
  <w:num w:numId="3" w16cid:durableId="612830311">
    <w:abstractNumId w:val="3"/>
  </w:num>
  <w:num w:numId="4" w16cid:durableId="183726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000BD7"/>
    <w:rsid w:val="0000327E"/>
    <w:rsid w:val="00005395"/>
    <w:rsid w:val="00031C6E"/>
    <w:rsid w:val="00052F16"/>
    <w:rsid w:val="000707B8"/>
    <w:rsid w:val="0008169D"/>
    <w:rsid w:val="0008497D"/>
    <w:rsid w:val="00093AAB"/>
    <w:rsid w:val="000A244B"/>
    <w:rsid w:val="000A4377"/>
    <w:rsid w:val="000F5D46"/>
    <w:rsid w:val="001067DC"/>
    <w:rsid w:val="00114516"/>
    <w:rsid w:val="001175A5"/>
    <w:rsid w:val="00130345"/>
    <w:rsid w:val="0014359B"/>
    <w:rsid w:val="0014520A"/>
    <w:rsid w:val="001452E9"/>
    <w:rsid w:val="00156D90"/>
    <w:rsid w:val="0016000C"/>
    <w:rsid w:val="00181F5D"/>
    <w:rsid w:val="001930FA"/>
    <w:rsid w:val="001A4E33"/>
    <w:rsid w:val="001B18E2"/>
    <w:rsid w:val="001C56CA"/>
    <w:rsid w:val="001D2A32"/>
    <w:rsid w:val="001D4CBE"/>
    <w:rsid w:val="001D53B3"/>
    <w:rsid w:val="001E0A9A"/>
    <w:rsid w:val="00210B5D"/>
    <w:rsid w:val="00224A29"/>
    <w:rsid w:val="0022631C"/>
    <w:rsid w:val="0022672C"/>
    <w:rsid w:val="00227E3B"/>
    <w:rsid w:val="00231529"/>
    <w:rsid w:val="00233FFF"/>
    <w:rsid w:val="00236476"/>
    <w:rsid w:val="0023706D"/>
    <w:rsid w:val="0024577C"/>
    <w:rsid w:val="00251A33"/>
    <w:rsid w:val="0025327E"/>
    <w:rsid w:val="002673BD"/>
    <w:rsid w:val="00271310"/>
    <w:rsid w:val="002753B8"/>
    <w:rsid w:val="002A0F2F"/>
    <w:rsid w:val="002A1623"/>
    <w:rsid w:val="002B1A59"/>
    <w:rsid w:val="002C426D"/>
    <w:rsid w:val="002C5B27"/>
    <w:rsid w:val="002E4355"/>
    <w:rsid w:val="002E60AE"/>
    <w:rsid w:val="002E7610"/>
    <w:rsid w:val="003045A0"/>
    <w:rsid w:val="00306C40"/>
    <w:rsid w:val="00327A02"/>
    <w:rsid w:val="00332BF9"/>
    <w:rsid w:val="0035044D"/>
    <w:rsid w:val="00351F4A"/>
    <w:rsid w:val="00361E95"/>
    <w:rsid w:val="0036348E"/>
    <w:rsid w:val="00365763"/>
    <w:rsid w:val="00366E2B"/>
    <w:rsid w:val="003673BE"/>
    <w:rsid w:val="00370B4C"/>
    <w:rsid w:val="003C3A29"/>
    <w:rsid w:val="003C62BA"/>
    <w:rsid w:val="003E61F3"/>
    <w:rsid w:val="00401F75"/>
    <w:rsid w:val="00417167"/>
    <w:rsid w:val="004267E1"/>
    <w:rsid w:val="00436516"/>
    <w:rsid w:val="00451ABD"/>
    <w:rsid w:val="00467324"/>
    <w:rsid w:val="00467521"/>
    <w:rsid w:val="00473046"/>
    <w:rsid w:val="00473BF4"/>
    <w:rsid w:val="0047757B"/>
    <w:rsid w:val="004842A5"/>
    <w:rsid w:val="004917BF"/>
    <w:rsid w:val="0049442B"/>
    <w:rsid w:val="004A5560"/>
    <w:rsid w:val="004B38CC"/>
    <w:rsid w:val="004C263A"/>
    <w:rsid w:val="004F6216"/>
    <w:rsid w:val="004F7294"/>
    <w:rsid w:val="00500FEE"/>
    <w:rsid w:val="00502C86"/>
    <w:rsid w:val="0052219E"/>
    <w:rsid w:val="00550BBC"/>
    <w:rsid w:val="005A7214"/>
    <w:rsid w:val="005C7429"/>
    <w:rsid w:val="005D15E3"/>
    <w:rsid w:val="005E758E"/>
    <w:rsid w:val="006031AD"/>
    <w:rsid w:val="00606F7E"/>
    <w:rsid w:val="00614197"/>
    <w:rsid w:val="006267F2"/>
    <w:rsid w:val="00627729"/>
    <w:rsid w:val="00647E5C"/>
    <w:rsid w:val="006803F0"/>
    <w:rsid w:val="006B6771"/>
    <w:rsid w:val="006C7363"/>
    <w:rsid w:val="006D304B"/>
    <w:rsid w:val="006F008E"/>
    <w:rsid w:val="006F18B3"/>
    <w:rsid w:val="006F67BF"/>
    <w:rsid w:val="0070507A"/>
    <w:rsid w:val="00710F58"/>
    <w:rsid w:val="00720EA8"/>
    <w:rsid w:val="00754C9A"/>
    <w:rsid w:val="00765865"/>
    <w:rsid w:val="00783B4A"/>
    <w:rsid w:val="00796B3E"/>
    <w:rsid w:val="007A3ACE"/>
    <w:rsid w:val="007A5C21"/>
    <w:rsid w:val="007B52DA"/>
    <w:rsid w:val="007F4F52"/>
    <w:rsid w:val="00806748"/>
    <w:rsid w:val="00832BA5"/>
    <w:rsid w:val="00845E56"/>
    <w:rsid w:val="0085565F"/>
    <w:rsid w:val="0088046F"/>
    <w:rsid w:val="00882EE1"/>
    <w:rsid w:val="00897406"/>
    <w:rsid w:val="008B6FFF"/>
    <w:rsid w:val="008C4F73"/>
    <w:rsid w:val="008E70C2"/>
    <w:rsid w:val="008F2BC3"/>
    <w:rsid w:val="008F69BA"/>
    <w:rsid w:val="00900A89"/>
    <w:rsid w:val="00901DFA"/>
    <w:rsid w:val="00916F7C"/>
    <w:rsid w:val="00931594"/>
    <w:rsid w:val="00940140"/>
    <w:rsid w:val="0094724E"/>
    <w:rsid w:val="009530E8"/>
    <w:rsid w:val="0095506C"/>
    <w:rsid w:val="00956204"/>
    <w:rsid w:val="009566DD"/>
    <w:rsid w:val="00961642"/>
    <w:rsid w:val="00977AB1"/>
    <w:rsid w:val="009869AE"/>
    <w:rsid w:val="00992E9F"/>
    <w:rsid w:val="0099466C"/>
    <w:rsid w:val="009B6114"/>
    <w:rsid w:val="009B7541"/>
    <w:rsid w:val="009C1BDA"/>
    <w:rsid w:val="009C3389"/>
    <w:rsid w:val="009C44CE"/>
    <w:rsid w:val="009E2547"/>
    <w:rsid w:val="009F0B80"/>
    <w:rsid w:val="009F2607"/>
    <w:rsid w:val="00A06618"/>
    <w:rsid w:val="00A122DB"/>
    <w:rsid w:val="00A36458"/>
    <w:rsid w:val="00A41630"/>
    <w:rsid w:val="00A42B5F"/>
    <w:rsid w:val="00A45BE5"/>
    <w:rsid w:val="00A535AC"/>
    <w:rsid w:val="00A674B4"/>
    <w:rsid w:val="00A74E53"/>
    <w:rsid w:val="00A80730"/>
    <w:rsid w:val="00A933F8"/>
    <w:rsid w:val="00AA4E3B"/>
    <w:rsid w:val="00AA7C4E"/>
    <w:rsid w:val="00AB3119"/>
    <w:rsid w:val="00AC097C"/>
    <w:rsid w:val="00AD1DEA"/>
    <w:rsid w:val="00AD3914"/>
    <w:rsid w:val="00AD4D2E"/>
    <w:rsid w:val="00AE47D9"/>
    <w:rsid w:val="00AF21D8"/>
    <w:rsid w:val="00B008FD"/>
    <w:rsid w:val="00B1169C"/>
    <w:rsid w:val="00B3781D"/>
    <w:rsid w:val="00B3794B"/>
    <w:rsid w:val="00B42044"/>
    <w:rsid w:val="00B46ECE"/>
    <w:rsid w:val="00B5653A"/>
    <w:rsid w:val="00B6078C"/>
    <w:rsid w:val="00B859DC"/>
    <w:rsid w:val="00B87A92"/>
    <w:rsid w:val="00BA3C7B"/>
    <w:rsid w:val="00BB2595"/>
    <w:rsid w:val="00BC27FE"/>
    <w:rsid w:val="00BC5037"/>
    <w:rsid w:val="00BE1A60"/>
    <w:rsid w:val="00BF7384"/>
    <w:rsid w:val="00C07312"/>
    <w:rsid w:val="00C60520"/>
    <w:rsid w:val="00C81866"/>
    <w:rsid w:val="00C83962"/>
    <w:rsid w:val="00C933BC"/>
    <w:rsid w:val="00CC1F83"/>
    <w:rsid w:val="00CC55A1"/>
    <w:rsid w:val="00CC7DE8"/>
    <w:rsid w:val="00CD4970"/>
    <w:rsid w:val="00CE56DD"/>
    <w:rsid w:val="00CE71A1"/>
    <w:rsid w:val="00CF68A1"/>
    <w:rsid w:val="00D13563"/>
    <w:rsid w:val="00D17FD5"/>
    <w:rsid w:val="00D2682F"/>
    <w:rsid w:val="00D333F5"/>
    <w:rsid w:val="00D35DD4"/>
    <w:rsid w:val="00D47111"/>
    <w:rsid w:val="00D65116"/>
    <w:rsid w:val="00D75FF7"/>
    <w:rsid w:val="00D859E7"/>
    <w:rsid w:val="00D92FE2"/>
    <w:rsid w:val="00DC04F9"/>
    <w:rsid w:val="00DD3278"/>
    <w:rsid w:val="00DD48AD"/>
    <w:rsid w:val="00DD5348"/>
    <w:rsid w:val="00DD7EB6"/>
    <w:rsid w:val="00DE435A"/>
    <w:rsid w:val="00DF122E"/>
    <w:rsid w:val="00E35D9B"/>
    <w:rsid w:val="00E41812"/>
    <w:rsid w:val="00E43A4F"/>
    <w:rsid w:val="00E54DAE"/>
    <w:rsid w:val="00E55A56"/>
    <w:rsid w:val="00E669F3"/>
    <w:rsid w:val="00E7019F"/>
    <w:rsid w:val="00E71897"/>
    <w:rsid w:val="00E833B2"/>
    <w:rsid w:val="00E83FC3"/>
    <w:rsid w:val="00E85D9F"/>
    <w:rsid w:val="00EA20DC"/>
    <w:rsid w:val="00EA37AF"/>
    <w:rsid w:val="00ED18DE"/>
    <w:rsid w:val="00ED7CEB"/>
    <w:rsid w:val="00EF095C"/>
    <w:rsid w:val="00EF7B4E"/>
    <w:rsid w:val="00F14D96"/>
    <w:rsid w:val="00F15BF7"/>
    <w:rsid w:val="00F66C03"/>
    <w:rsid w:val="00F76C8B"/>
    <w:rsid w:val="00F90E34"/>
    <w:rsid w:val="00FA63A4"/>
    <w:rsid w:val="00FA6B8B"/>
    <w:rsid w:val="00FC5D6D"/>
    <w:rsid w:val="00FD18AD"/>
    <w:rsid w:val="00FD3305"/>
    <w:rsid w:val="00FE4F4B"/>
    <w:rsid w:val="041030E9"/>
    <w:rsid w:val="05644629"/>
    <w:rsid w:val="0621F772"/>
    <w:rsid w:val="071698F2"/>
    <w:rsid w:val="09249E6B"/>
    <w:rsid w:val="0D0C288E"/>
    <w:rsid w:val="0D79F434"/>
    <w:rsid w:val="0DFC23E8"/>
    <w:rsid w:val="1076BC05"/>
    <w:rsid w:val="10A83A33"/>
    <w:rsid w:val="10B27119"/>
    <w:rsid w:val="14202A47"/>
    <w:rsid w:val="15D9AE7B"/>
    <w:rsid w:val="16C9C0D0"/>
    <w:rsid w:val="19407FB7"/>
    <w:rsid w:val="1FF1A9D9"/>
    <w:rsid w:val="247E68AA"/>
    <w:rsid w:val="25950FC7"/>
    <w:rsid w:val="290F3DFF"/>
    <w:rsid w:val="2C4BB168"/>
    <w:rsid w:val="2CB8601B"/>
    <w:rsid w:val="2D47AD08"/>
    <w:rsid w:val="2E34F7ED"/>
    <w:rsid w:val="2E689232"/>
    <w:rsid w:val="2F0F0E10"/>
    <w:rsid w:val="30C81767"/>
    <w:rsid w:val="30E7CC7D"/>
    <w:rsid w:val="31A8CA07"/>
    <w:rsid w:val="359892FD"/>
    <w:rsid w:val="35F24750"/>
    <w:rsid w:val="37210BFE"/>
    <w:rsid w:val="38D52BB8"/>
    <w:rsid w:val="38F364B6"/>
    <w:rsid w:val="39538623"/>
    <w:rsid w:val="466E6B7D"/>
    <w:rsid w:val="491D9A4F"/>
    <w:rsid w:val="49EEBA26"/>
    <w:rsid w:val="4A4541BE"/>
    <w:rsid w:val="4ABF7018"/>
    <w:rsid w:val="4B41580F"/>
    <w:rsid w:val="4DBA932F"/>
    <w:rsid w:val="4E2375D9"/>
    <w:rsid w:val="4E2EB237"/>
    <w:rsid w:val="4F987ECD"/>
    <w:rsid w:val="5159607F"/>
    <w:rsid w:val="53F511AD"/>
    <w:rsid w:val="56DE2106"/>
    <w:rsid w:val="57DA170A"/>
    <w:rsid w:val="583AFE24"/>
    <w:rsid w:val="5A417A03"/>
    <w:rsid w:val="5B01A568"/>
    <w:rsid w:val="5C492996"/>
    <w:rsid w:val="5FD902C4"/>
    <w:rsid w:val="60C95E03"/>
    <w:rsid w:val="61183E6B"/>
    <w:rsid w:val="61C1607C"/>
    <w:rsid w:val="6382E866"/>
    <w:rsid w:val="63E6BB7F"/>
    <w:rsid w:val="64A033FC"/>
    <w:rsid w:val="64F4C0A1"/>
    <w:rsid w:val="653AD3B0"/>
    <w:rsid w:val="6632ECB2"/>
    <w:rsid w:val="6878BABB"/>
    <w:rsid w:val="687EE6B5"/>
    <w:rsid w:val="6A293A3D"/>
    <w:rsid w:val="6A551CDD"/>
    <w:rsid w:val="6AF24F85"/>
    <w:rsid w:val="6B568774"/>
    <w:rsid w:val="6FE2B850"/>
    <w:rsid w:val="7215F8AB"/>
    <w:rsid w:val="732D4C11"/>
    <w:rsid w:val="749C0DD5"/>
    <w:rsid w:val="755EB163"/>
    <w:rsid w:val="763E88A5"/>
    <w:rsid w:val="77D53CF7"/>
    <w:rsid w:val="790BA602"/>
    <w:rsid w:val="7965388D"/>
    <w:rsid w:val="7E757294"/>
    <w:rsid w:val="7FA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1730CD15-22D3-4AAE-842D-FDF4B8BF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52F1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C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F69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Operations@tevapharm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vaengagemateresourcecen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image" Target="cid:image017.jpg@01D9A393.76A07ED0" TargetMode="External"/><Relationship Id="rId10" Type="http://schemas.openxmlformats.org/officeDocument/2006/relationships/image" Target="cid:image016.jpg@01D9A393.76A07ED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0c793-3ac1-4b56-a627-11c14d1d085e" xsi:nil="true"/>
    <lcf76f155ced4ddcb4097134ff3c332f xmlns="002bd5e7-0a7c-4f14-970c-1abd4d7130c3">
      <Terms xmlns="http://schemas.microsoft.com/office/infopath/2007/PartnerControls"/>
    </lcf76f155ced4ddcb4097134ff3c332f>
    <Count xmlns="002bd5e7-0a7c-4f14-970c-1abd4d7130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E005D328D47B03CA873BF485A2D" ma:contentTypeVersion="17" ma:contentTypeDescription="Create a new document." ma:contentTypeScope="" ma:versionID="c6ce94c727c93ebed0d23c8fcb9a0b26">
  <xsd:schema xmlns:xsd="http://www.w3.org/2001/XMLSchema" xmlns:xs="http://www.w3.org/2001/XMLSchema" xmlns:p="http://schemas.microsoft.com/office/2006/metadata/properties" xmlns:ns2="002bd5e7-0a7c-4f14-970c-1abd4d7130c3" xmlns:ns3="b540c793-3ac1-4b56-a627-11c14d1d085e" targetNamespace="http://schemas.microsoft.com/office/2006/metadata/properties" ma:root="true" ma:fieldsID="89a8ec7896d228a7643d0b3b2225fa8d" ns2:_="" ns3:_="">
    <xsd:import namespace="002bd5e7-0a7c-4f14-970c-1abd4d7130c3"/>
    <xsd:import namespace="b540c793-3ac1-4b56-a627-11c14d1d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d5e7-0a7c-4f14-970c-1abd4d713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" ma:index="24" nillable="true" ma:displayName="Count" ma:format="Dropdown" ma:internalName="Coun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0c793-3ac1-4b56-a627-11c14d1d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53b75f-3eab-4343-8620-aa37ee3dd3c3}" ma:internalName="TaxCatchAll" ma:showField="CatchAllData" ma:web="b540c793-3ac1-4b56-a627-11c14d1d0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5552C-A133-4362-ACF3-4CBA1FECB42F}">
  <ds:schemaRefs>
    <ds:schemaRef ds:uri="http://schemas.microsoft.com/office/2006/metadata/properties"/>
    <ds:schemaRef ds:uri="http://schemas.microsoft.com/office/infopath/2007/PartnerControls"/>
    <ds:schemaRef ds:uri="b540c793-3ac1-4b56-a627-11c14d1d085e"/>
    <ds:schemaRef ds:uri="002bd5e7-0a7c-4f14-970c-1abd4d7130c3"/>
  </ds:schemaRefs>
</ds:datastoreItem>
</file>

<file path=customXml/itemProps2.xml><?xml version="1.0" encoding="utf-8"?>
<ds:datastoreItem xmlns:ds="http://schemas.openxmlformats.org/officeDocument/2006/customXml" ds:itemID="{9ED05E24-641D-4F4A-97A1-59807AD3D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B7771-8DE7-4B02-B453-4A26F3D42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707BB-B07F-476C-B144-579475F5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d5e7-0a7c-4f14-970c-1abd4d7130c3"/>
    <ds:schemaRef ds:uri="b540c793-3ac1-4b56-a627-11c14d1d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669</Words>
  <Characters>3815</Characters>
  <Application>Microsoft Office Word</Application>
  <DocSecurity>0</DocSecurity>
  <Lines>31</Lines>
  <Paragraphs>8</Paragraphs>
  <ScaleCrop>false</ScaleCrop>
  <Company>Teva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127</cp:revision>
  <dcterms:created xsi:type="dcterms:W3CDTF">2025-02-11T22:37:00Z</dcterms:created>
  <dcterms:modified xsi:type="dcterms:W3CDTF">2025-04-17T16:58:00Z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0x010100B5B1FE005D328D47B03CA873BF485A2D</vt:lpwstr>
  </property>
  <property fmtid="{D5CDD505-2E9C-101B-9397-08002B2CF9AE}" pid="3" name="MediaServiceImageTags">
    <vt:lpwstr/>
  </property>
</Properties>
</file>